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276D5" w14:textId="5E627AC9" w:rsidR="00D07C27" w:rsidRPr="001E32B8" w:rsidRDefault="00EC3D26" w:rsidP="00F223FA">
      <w:pPr>
        <w:pStyle w:val="Heading1"/>
        <w:ind w:right="545"/>
        <w:rPr>
          <w:rFonts w:ascii="Arial Bold" w:hAnsi="Arial Bold" w:cs="Arial Bold"/>
          <w:bCs/>
        </w:rPr>
      </w:pPr>
      <w:r w:rsidRPr="001E32B8">
        <w:rPr>
          <w:rFonts w:ascii="Arial Bold" w:hAnsi="Arial Bold" w:cs="Times New Roman"/>
          <w:bCs/>
        </w:rPr>
        <w:t xml:space="preserve"> بند جدول الأعمال رقم </w:t>
      </w:r>
      <w:r w:rsidR="00F223FA">
        <w:rPr>
          <w:rFonts w:ascii="Arial Bold" w:hAnsi="Arial Bold" w:cs="Arial Bold"/>
          <w:bCs/>
          <w:rtl w:val="0"/>
        </w:rPr>
        <w:t>26</w:t>
      </w:r>
      <w:bookmarkStart w:id="0" w:name="_GoBack"/>
      <w:bookmarkEnd w:id="0"/>
      <w:r w:rsidRPr="001E32B8">
        <w:rPr>
          <w:rFonts w:ascii="Arial Bold" w:hAnsi="Arial Bold" w:cs="Arial Bold"/>
          <w:bCs/>
        </w:rPr>
        <w:t>:</w:t>
      </w:r>
      <w:r w:rsidR="001E32B8">
        <w:rPr>
          <w:rFonts w:ascii="Arial Bold" w:hAnsi="Arial Bold" w:cs="Times New Roman"/>
          <w:bCs/>
        </w:rPr>
        <w:t xml:space="preserve"> </w:t>
      </w:r>
      <w:r w:rsidRPr="001E32B8">
        <w:rPr>
          <w:rFonts w:ascii="Arial Bold" w:hAnsi="Arial Bold" w:cs="Times New Roman"/>
          <w:bCs/>
        </w:rPr>
        <w:t>تحديث مسار العمل</w:t>
      </w:r>
      <w:r w:rsidR="001E32B8">
        <w:rPr>
          <w:rFonts w:ascii="Arial Bold" w:hAnsi="Arial Bold" w:cs="Times New Roman"/>
          <w:bCs/>
        </w:rPr>
        <w:t xml:space="preserve"> </w:t>
      </w:r>
      <w:r w:rsidRPr="001E32B8">
        <w:rPr>
          <w:rFonts w:ascii="Arial Bold" w:hAnsi="Arial Bold" w:cs="Times New Roman"/>
          <w:bCs/>
        </w:rPr>
        <w:t>الخاص بمجموعة العمل المجتمعية المعنية بتعزيز المساءلة</w:t>
      </w:r>
    </w:p>
    <w:p w14:paraId="7716CEA6" w14:textId="1BB4E9E2" w:rsidR="00E00260" w:rsidRPr="00704FE4" w:rsidRDefault="00E00260" w:rsidP="00704FE4">
      <w:pPr>
        <w:pStyle w:val="Heading2"/>
        <w:rPr>
          <w:color w:val="auto"/>
        </w:rPr>
      </w:pPr>
      <w:r w:rsidRPr="00704FE4">
        <w:rPr>
          <w:rFonts w:cs="Times New Roman"/>
          <w:rtl/>
        </w:rPr>
        <w:t>ملاحظة</w:t>
      </w:r>
      <w:r w:rsidRPr="00704FE4">
        <w:rPr>
          <w:rtl/>
        </w:rPr>
        <w:t xml:space="preserve">: </w:t>
      </w:r>
      <w:r w:rsidRPr="00704FE4">
        <w:rPr>
          <w:rFonts w:cs="Times New Roman"/>
          <w:color w:val="auto"/>
          <w:rtl/>
        </w:rPr>
        <w:t xml:space="preserve">سوف تكون هناك حاجة لتحديث هذه المعلومات في اجتماع اللجنة الاستشارية الحكومية كي تضع في الحسبان الاجتماع المباشر الخاص بمجموعة العمل المجتمعية المعنية بتعزيز المساءلة في بنما سيتي يوم الأحد الموافق </w:t>
      </w:r>
      <w:r w:rsidRPr="00704FE4">
        <w:rPr>
          <w:color w:val="auto"/>
          <w:rtl/>
        </w:rPr>
        <w:t xml:space="preserve">24 </w:t>
      </w:r>
      <w:r w:rsidRPr="00704FE4">
        <w:rPr>
          <w:rFonts w:cs="Times New Roman"/>
          <w:color w:val="auto"/>
          <w:rtl/>
        </w:rPr>
        <w:t xml:space="preserve">يونيو </w:t>
      </w:r>
      <w:r w:rsidRPr="00704FE4">
        <w:rPr>
          <w:color w:val="auto"/>
          <w:rtl/>
        </w:rPr>
        <w:t>2018.</w:t>
      </w:r>
    </w:p>
    <w:p w14:paraId="4ABE83AD" w14:textId="0C1E079D" w:rsidR="00E13252" w:rsidRPr="001E32B8" w:rsidRDefault="00E13252" w:rsidP="00704FE4">
      <w:pPr>
        <w:pStyle w:val="Heading2"/>
      </w:pPr>
      <w:r w:rsidRPr="001E32B8">
        <w:rPr>
          <w:rFonts w:cs="Times New Roman"/>
          <w:rtl/>
        </w:rPr>
        <w:t>القضايا</w:t>
      </w:r>
    </w:p>
    <w:p w14:paraId="70D8BD1F" w14:textId="43E77599" w:rsidR="00E00260" w:rsidRPr="001E32B8" w:rsidRDefault="00A92158" w:rsidP="00E00260">
      <w:pPr>
        <w:pStyle w:val="ListParagraph"/>
        <w:numPr>
          <w:ilvl w:val="0"/>
          <w:numId w:val="5"/>
        </w:numPr>
        <w:spacing w:before="100" w:beforeAutospacing="1" w:after="240"/>
        <w:ind w:right="545"/>
        <w:rPr>
          <w:rFonts w:ascii="Arial" w:hAnsi="Arial" w:cs="Arial"/>
          <w:szCs w:val="20"/>
        </w:rPr>
      </w:pPr>
      <w:r w:rsidRPr="001E32B8">
        <w:rPr>
          <w:rFonts w:ascii="Arial" w:hAnsi="Arial" w:cs="Arial"/>
        </w:rPr>
        <w:t>التقارير المقدمة من الأعضاء المعيّنين من اللجنة الاستشارية الحكومية في مسار العمل 2 الخاص بمجموعة العمل المجتمعية المعنية بتعزيز المساءلة.</w:t>
      </w:r>
    </w:p>
    <w:p w14:paraId="2EEF2ED9" w14:textId="75E7E1B9" w:rsidR="00023E59" w:rsidRPr="001E32B8" w:rsidRDefault="00A92158" w:rsidP="00A92158">
      <w:pPr>
        <w:pStyle w:val="ListParagraph"/>
        <w:numPr>
          <w:ilvl w:val="0"/>
          <w:numId w:val="5"/>
        </w:numPr>
        <w:spacing w:before="100" w:beforeAutospacing="1" w:after="240"/>
        <w:ind w:right="545"/>
        <w:rPr>
          <w:rFonts w:ascii="Arial" w:hAnsi="Arial" w:cs="Arial"/>
          <w:szCs w:val="20"/>
        </w:rPr>
      </w:pPr>
      <w:r w:rsidRPr="001E32B8">
        <w:rPr>
          <w:rFonts w:ascii="Arial" w:hAnsi="Arial" w:cs="Arial"/>
        </w:rPr>
        <w:t>التقرير النهائي لمسار العمل 2 الخاص بمجموعة العمل المجتمعية وتوصياتهم.</w:t>
      </w:r>
    </w:p>
    <w:p w14:paraId="2FDA9BA2" w14:textId="70484D57" w:rsidR="00E00260" w:rsidRPr="001E32B8" w:rsidRDefault="00831E94" w:rsidP="00E00260">
      <w:pPr>
        <w:pStyle w:val="ListParagraph"/>
        <w:numPr>
          <w:ilvl w:val="0"/>
          <w:numId w:val="5"/>
        </w:numPr>
        <w:spacing w:before="100" w:beforeAutospacing="1" w:after="240"/>
        <w:ind w:right="545"/>
        <w:rPr>
          <w:rFonts w:ascii="Arial" w:hAnsi="Arial" w:cs="Arial"/>
          <w:szCs w:val="20"/>
        </w:rPr>
      </w:pPr>
      <w:r w:rsidRPr="001E32B8">
        <w:rPr>
          <w:rFonts w:ascii="Arial" w:hAnsi="Arial" w:cs="Arial"/>
        </w:rPr>
        <w:t xml:space="preserve">مركز اللجنة الاستشارية الحكومية كمنظمة مؤسِّسة لمجموعة العمل المجتمعية. </w:t>
      </w:r>
    </w:p>
    <w:p w14:paraId="24811425" w14:textId="4FF6E149" w:rsidR="00B1475A" w:rsidRPr="001E32B8" w:rsidRDefault="00B1475A" w:rsidP="00704FE4">
      <w:pPr>
        <w:pStyle w:val="Heading2"/>
      </w:pPr>
      <w:r w:rsidRPr="001E32B8">
        <w:rPr>
          <w:rFonts w:cs="Times New Roman"/>
          <w:rtl/>
        </w:rPr>
        <w:t>إجراءات اللجنة الاستشارية الحكومية المطلوب اتخاذها</w:t>
      </w:r>
    </w:p>
    <w:p w14:paraId="0A3A4541" w14:textId="000C5F61" w:rsidR="00D34405" w:rsidRPr="001E32B8" w:rsidRDefault="00E00260" w:rsidP="00367D10">
      <w:pPr>
        <w:pStyle w:val="BodyText"/>
        <w:numPr>
          <w:ilvl w:val="0"/>
          <w:numId w:val="16"/>
        </w:numPr>
        <w:ind w:right="545"/>
        <w:rPr>
          <w:rFonts w:ascii="Arial" w:hAnsi="Arial" w:cs="Arial"/>
          <w:b/>
          <w:color w:val="2E74B5" w:themeColor="accent1" w:themeShade="BF"/>
        </w:rPr>
      </w:pPr>
      <w:r w:rsidRPr="001E32B8">
        <w:rPr>
          <w:rFonts w:ascii="Arial" w:hAnsi="Arial" w:cs="Arial"/>
          <w:b/>
          <w:bCs/>
          <w:color w:val="2E74B5" w:themeColor="accent1" w:themeShade="BF"/>
        </w:rPr>
        <w:t>التقارير المقدمة من أعضاء اللجنة الاستشارية الحكومية</w:t>
      </w:r>
    </w:p>
    <w:p w14:paraId="0E2B3024" w14:textId="7239B86A" w:rsidR="00C40474" w:rsidRPr="001E32B8" w:rsidRDefault="00C40474" w:rsidP="00C40474">
      <w:pPr>
        <w:pStyle w:val="BodyText"/>
        <w:ind w:right="545"/>
        <w:rPr>
          <w:rFonts w:ascii="Arial" w:hAnsi="Arial" w:cs="Arial"/>
        </w:rPr>
      </w:pPr>
      <w:r w:rsidRPr="001E32B8">
        <w:rPr>
          <w:rFonts w:ascii="Arial" w:hAnsi="Arial" w:cs="Arial"/>
        </w:rPr>
        <w:t>من الممارسات التي سادت اجتماعات اللجنة الاستشارية الحكومية الأخيرة الاستماع إلى التقارير المقدمة من أعضاءها المعيّنين من مجموعة العمل المجتمعية. وقد تم إعداد تقارير ما بين الجلسات وإرسالها إلى اللجنة الاستشارية الحكومية بمعرفة أمانة سر المجموعة الأسترالية للتحسين المستمر التابعة للجنة الاستشارية الحكومية.</w:t>
      </w:r>
    </w:p>
    <w:p w14:paraId="29E29033" w14:textId="27AC6DA6" w:rsidR="00C40474" w:rsidRPr="001E32B8" w:rsidRDefault="00C40474" w:rsidP="00C40474">
      <w:pPr>
        <w:pStyle w:val="BodyText"/>
        <w:ind w:right="545"/>
        <w:rPr>
          <w:rFonts w:ascii="Arial" w:hAnsi="Arial" w:cs="Arial"/>
        </w:rPr>
      </w:pPr>
      <w:r w:rsidRPr="001E32B8">
        <w:rPr>
          <w:rFonts w:ascii="Arial" w:hAnsi="Arial" w:cs="Arial"/>
        </w:rPr>
        <w:t xml:space="preserve">المرشحون من اللجنة الاستشارية الحكومية لمجموعة العمل المجتمعية هم: الأرجنتين والبرازيل وكندا والدنمارك وإيران. </w:t>
      </w:r>
    </w:p>
    <w:p w14:paraId="1567A125" w14:textId="05040222" w:rsidR="00831E94" w:rsidRPr="00704FE4" w:rsidRDefault="00A92158" w:rsidP="00367D10">
      <w:pPr>
        <w:pStyle w:val="BodyText"/>
        <w:numPr>
          <w:ilvl w:val="0"/>
          <w:numId w:val="16"/>
        </w:numPr>
        <w:ind w:right="545"/>
        <w:rPr>
          <w:rFonts w:ascii="Arial Bold" w:hAnsi="Arial Bold" w:cs="Arial Bold"/>
          <w:b/>
          <w:color w:val="2E74B5" w:themeColor="accent1" w:themeShade="BF"/>
        </w:rPr>
      </w:pPr>
      <w:r w:rsidRPr="00704FE4">
        <w:rPr>
          <w:rFonts w:ascii="Arial Bold" w:hAnsi="Arial Bold" w:cs="Times New Roman"/>
          <w:b/>
          <w:bCs/>
          <w:color w:val="2E74B5" w:themeColor="accent1" w:themeShade="BF"/>
        </w:rPr>
        <w:t>مسودة التقرير النهائي والتوصيات</w:t>
      </w:r>
    </w:p>
    <w:p w14:paraId="2F010AA4" w14:textId="62080976" w:rsidR="001D64DD" w:rsidRPr="001E32B8" w:rsidRDefault="00A92158" w:rsidP="00A92158">
      <w:pPr>
        <w:pStyle w:val="BodyText"/>
        <w:ind w:right="545"/>
        <w:rPr>
          <w:rFonts w:ascii="Arial" w:hAnsi="Arial" w:cs="Arial"/>
        </w:rPr>
      </w:pPr>
      <w:r w:rsidRPr="001E32B8">
        <w:rPr>
          <w:rFonts w:ascii="Arial" w:hAnsi="Arial" w:cs="Arial"/>
        </w:rPr>
        <w:t xml:space="preserve">نشرت مجموعة العمل المجتمعية </w:t>
      </w:r>
      <w:hyperlink r:id="rId8">
        <w:r w:rsidRPr="001E32B8">
          <w:rPr>
            <w:rStyle w:val="Hyperlink"/>
            <w:rFonts w:ascii="Arial" w:hAnsi="Arial" w:cs="Arial"/>
          </w:rPr>
          <w:t>تقريرها النهائي</w:t>
        </w:r>
      </w:hyperlink>
      <w:r w:rsidRPr="001E32B8">
        <w:rPr>
          <w:rFonts w:ascii="Arial" w:hAnsi="Arial" w:cs="Arial"/>
        </w:rPr>
        <w:t>، بما في ذلك التوصيات، للتعليق العام في الفترة من 30 مارس إلى 11 مايو 2018. ومن الناحية النظرية، كانت هذه المسألة مقتصرة على تعريف أوجه عدم الاتصال عبر التوصيات. ويرجع ذلك لعدم قدرة مجموعة العمل المجتمعية على إعادة فتح القضايا الجوهرية حيث يجب عليها إنهاء عملها بحلول يونيو 2018.</w:t>
      </w:r>
    </w:p>
    <w:p w14:paraId="7CA01744" w14:textId="2AED4177" w:rsidR="00D97BFC" w:rsidRPr="001E32B8" w:rsidRDefault="00D97BFC" w:rsidP="00A92158">
      <w:pPr>
        <w:pStyle w:val="BodyText"/>
        <w:ind w:right="545"/>
        <w:rPr>
          <w:rFonts w:ascii="Arial" w:hAnsi="Arial" w:cs="Arial"/>
        </w:rPr>
      </w:pPr>
      <w:r w:rsidRPr="001E32B8">
        <w:rPr>
          <w:rFonts w:ascii="Arial" w:hAnsi="Arial" w:cs="Arial"/>
        </w:rPr>
        <w:t>قدم أحد أعضاء اللجنة الاستشارية الحكومية (فرنسا) تعليقات عامة حول التنوع والاختصاص القضائي.</w:t>
      </w:r>
    </w:p>
    <w:p w14:paraId="6AF533F1" w14:textId="01FA9183" w:rsidR="00D97BFC" w:rsidRPr="001E32B8" w:rsidRDefault="00D97BFC" w:rsidP="00A92158">
      <w:pPr>
        <w:pStyle w:val="BodyText"/>
        <w:ind w:right="545"/>
        <w:rPr>
          <w:rFonts w:ascii="Arial" w:hAnsi="Arial" w:cs="Arial"/>
        </w:rPr>
      </w:pPr>
      <w:r w:rsidRPr="001E32B8">
        <w:rPr>
          <w:rFonts w:ascii="Arial" w:hAnsi="Arial" w:cs="Arial"/>
        </w:rPr>
        <w:t xml:space="preserve">لدى مجلس إدارة </w:t>
      </w:r>
      <w:r w:rsidRPr="001E32B8">
        <w:rPr>
          <w:rFonts w:ascii="Arial" w:hAnsi="Arial" w:cs="Arial"/>
          <w:rtl w:val="0"/>
        </w:rPr>
        <w:t>ICANN</w:t>
      </w:r>
      <w:r w:rsidRPr="001E32B8">
        <w:rPr>
          <w:rFonts w:ascii="Arial" w:hAnsi="Arial" w:cs="Arial"/>
        </w:rPr>
        <w:t xml:space="preserve"> مخاوف حيال بعض التوصيات. وفي وقت إعداد هذا الموجز لا تزال هذه المخاوف قيد النقاش مع الرؤساء المشاركين في مجموعة العمل المجتمعية. ويتمثل الهدف في وضع "إرشادات تنفيذ" للتعامل مع مخاوف مجلس الإدارة دون تغيير التوصيات. ويرد في الجدول أدناه الحالة الراهنة.</w:t>
      </w:r>
    </w:p>
    <w:p w14:paraId="67BBBBA0" w14:textId="7069DA21" w:rsidR="00367D10" w:rsidRPr="001E32B8" w:rsidRDefault="00A10D81" w:rsidP="00A92158">
      <w:pPr>
        <w:pStyle w:val="BodyText"/>
        <w:ind w:right="545"/>
        <w:rPr>
          <w:rFonts w:ascii="Arial" w:hAnsi="Arial" w:cs="Arial"/>
        </w:rPr>
      </w:pPr>
      <w:r w:rsidRPr="001E32B8">
        <w:rPr>
          <w:rFonts w:ascii="Arial" w:hAnsi="Arial" w:cs="Arial"/>
        </w:rPr>
        <w:t>الموقف حيال التوصيات وفق ما وافقت عليه مجموعة العمل المجتمعية ونشرته للتعليق العام على النحو التالي:</w:t>
      </w:r>
    </w:p>
    <w:p w14:paraId="27E22564" w14:textId="77777777" w:rsidR="00D662AE" w:rsidRPr="001E32B8" w:rsidRDefault="00D662AE" w:rsidP="00A92158">
      <w:pPr>
        <w:pStyle w:val="BodyText"/>
        <w:ind w:right="545"/>
        <w:rPr>
          <w:rFonts w:ascii="Arial" w:hAnsi="Arial" w:cs="Arial"/>
        </w:rPr>
      </w:pPr>
    </w:p>
    <w:tbl>
      <w:tblPr>
        <w:tblStyle w:val="TableGrid"/>
        <w:bidiVisual/>
        <w:tblW w:w="0" w:type="auto"/>
        <w:tblLook w:val="04A0" w:firstRow="1" w:lastRow="0" w:firstColumn="1" w:lastColumn="0" w:noHBand="0" w:noVBand="1"/>
      </w:tblPr>
      <w:tblGrid>
        <w:gridCol w:w="4803"/>
        <w:gridCol w:w="4804"/>
      </w:tblGrid>
      <w:tr w:rsidR="00A10D81" w:rsidRPr="001E32B8" w14:paraId="2A4359DC" w14:textId="77777777" w:rsidTr="000D1296">
        <w:tc>
          <w:tcPr>
            <w:tcW w:w="4803" w:type="dxa"/>
            <w:shd w:val="clear" w:color="auto" w:fill="BDD6EE" w:themeFill="accent1" w:themeFillTint="66"/>
          </w:tcPr>
          <w:p w14:paraId="2FEF778B" w14:textId="007D909A" w:rsidR="00A10D81" w:rsidRPr="001E32B8" w:rsidRDefault="00D97BFC" w:rsidP="00A92158">
            <w:pPr>
              <w:pStyle w:val="BodyText"/>
              <w:ind w:right="545"/>
              <w:rPr>
                <w:rFonts w:ascii="Arial" w:hAnsi="Arial" w:cs="Arial"/>
                <w:b/>
                <w:color w:val="000000" w:themeColor="text1"/>
              </w:rPr>
            </w:pPr>
            <w:r w:rsidRPr="001E32B8">
              <w:rPr>
                <w:rFonts w:ascii="Arial" w:hAnsi="Arial" w:cs="Arial"/>
                <w:b/>
                <w:bCs/>
                <w:color w:val="000000" w:themeColor="text1"/>
              </w:rPr>
              <w:t>التوصية</w:t>
            </w:r>
          </w:p>
        </w:tc>
        <w:tc>
          <w:tcPr>
            <w:tcW w:w="4804" w:type="dxa"/>
            <w:shd w:val="clear" w:color="auto" w:fill="BDD6EE" w:themeFill="accent1" w:themeFillTint="66"/>
          </w:tcPr>
          <w:p w14:paraId="10C9D6D5" w14:textId="4C802992" w:rsidR="00A10D81" w:rsidRPr="001E32B8" w:rsidRDefault="00D97BFC" w:rsidP="00A92158">
            <w:pPr>
              <w:pStyle w:val="BodyText"/>
              <w:ind w:right="545"/>
              <w:rPr>
                <w:rFonts w:ascii="Arial" w:hAnsi="Arial" w:cs="Arial"/>
                <w:b/>
                <w:color w:val="000000" w:themeColor="text1"/>
              </w:rPr>
            </w:pPr>
            <w:r w:rsidRPr="001E32B8">
              <w:rPr>
                <w:rFonts w:ascii="Arial" w:hAnsi="Arial" w:cs="Arial"/>
                <w:b/>
                <w:bCs/>
                <w:color w:val="000000" w:themeColor="text1"/>
              </w:rPr>
              <w:t>التعليق</w:t>
            </w:r>
          </w:p>
        </w:tc>
      </w:tr>
      <w:tr w:rsidR="001A541E" w:rsidRPr="001E32B8" w14:paraId="7268EB83" w14:textId="77777777" w:rsidTr="00A10D81">
        <w:tc>
          <w:tcPr>
            <w:tcW w:w="4803" w:type="dxa"/>
          </w:tcPr>
          <w:p w14:paraId="13F94156" w14:textId="3FE29C2F" w:rsidR="001A541E" w:rsidRPr="001E32B8" w:rsidRDefault="001A541E" w:rsidP="00A92158">
            <w:pPr>
              <w:pStyle w:val="BodyText"/>
              <w:ind w:right="545"/>
              <w:rPr>
                <w:rFonts w:ascii="Arial" w:hAnsi="Arial" w:cs="Arial"/>
                <w:b/>
              </w:rPr>
            </w:pPr>
            <w:r w:rsidRPr="001E32B8">
              <w:rPr>
                <w:rFonts w:ascii="Arial" w:hAnsi="Arial" w:cs="Arial"/>
                <w:b/>
                <w:bCs/>
              </w:rPr>
              <w:t>التقرير وجميع التوصيات</w:t>
            </w:r>
          </w:p>
        </w:tc>
        <w:tc>
          <w:tcPr>
            <w:tcW w:w="4804" w:type="dxa"/>
          </w:tcPr>
          <w:p w14:paraId="5C4C33B7" w14:textId="7FCCA3D2" w:rsidR="001A541E" w:rsidRPr="001E32B8" w:rsidRDefault="001A541E" w:rsidP="00A92158">
            <w:pPr>
              <w:pStyle w:val="BodyText"/>
              <w:ind w:right="545"/>
              <w:rPr>
                <w:rFonts w:ascii="Arial" w:hAnsi="Arial" w:cs="Arial"/>
              </w:rPr>
            </w:pPr>
            <w:r w:rsidRPr="001E32B8">
              <w:rPr>
                <w:rFonts w:ascii="Arial" w:hAnsi="Arial" w:cs="Arial"/>
              </w:rPr>
              <w:t>لم توافق اللجنة الاستشارية الحكومية على أي من تعقيبات الإجماع. وقدم بعض أعضاء اللجنة الاستشارية الحكومية تعقيبات وآراء في عمليات التعليق العام وناقشوا وجهات نظر فردية في مستوى عمل مجموعة العمل المجتمعية.</w:t>
            </w:r>
          </w:p>
        </w:tc>
      </w:tr>
      <w:tr w:rsidR="00A10D81" w:rsidRPr="001E32B8" w14:paraId="129D9BD8" w14:textId="77777777" w:rsidTr="00A10D81">
        <w:tc>
          <w:tcPr>
            <w:tcW w:w="4803" w:type="dxa"/>
          </w:tcPr>
          <w:p w14:paraId="31990C05" w14:textId="77777777" w:rsidR="00A10D81" w:rsidRPr="001E32B8" w:rsidRDefault="00D97BFC" w:rsidP="00704FE4">
            <w:pPr>
              <w:pStyle w:val="BodyText"/>
              <w:keepLines/>
              <w:ind w:right="544"/>
              <w:rPr>
                <w:rFonts w:ascii="Arial" w:hAnsi="Arial" w:cs="Arial"/>
                <w:b/>
              </w:rPr>
            </w:pPr>
            <w:r w:rsidRPr="001E32B8">
              <w:rPr>
                <w:rFonts w:ascii="Arial" w:hAnsi="Arial" w:cs="Arial"/>
                <w:b/>
                <w:bCs/>
              </w:rPr>
              <w:lastRenderedPageBreak/>
              <w:t>التنوع</w:t>
            </w:r>
          </w:p>
          <w:p w14:paraId="576EE518" w14:textId="77777777" w:rsidR="00481C0C" w:rsidRPr="001E32B8" w:rsidRDefault="00481C0C" w:rsidP="00704FE4">
            <w:pPr>
              <w:pStyle w:val="BodyText"/>
              <w:keepLines/>
              <w:numPr>
                <w:ilvl w:val="0"/>
                <w:numId w:val="14"/>
              </w:numPr>
              <w:ind w:right="544"/>
              <w:rPr>
                <w:rFonts w:ascii="Arial" w:hAnsi="Arial" w:cs="Arial"/>
              </w:rPr>
            </w:pPr>
            <w:r w:rsidRPr="001E32B8">
              <w:rPr>
                <w:rFonts w:ascii="Arial" w:hAnsi="Arial" w:cs="Arial"/>
              </w:rPr>
              <w:t xml:space="preserve">تعريف متفق عليه للتنوع يسري على جميع قطاعات </w:t>
            </w:r>
            <w:r w:rsidRPr="001E32B8">
              <w:rPr>
                <w:rFonts w:ascii="Arial" w:hAnsi="Arial" w:cs="Arial"/>
                <w:rtl w:val="0"/>
              </w:rPr>
              <w:t>ICANN</w:t>
            </w:r>
            <w:r w:rsidRPr="001E32B8">
              <w:rPr>
                <w:rFonts w:ascii="Arial" w:hAnsi="Arial" w:cs="Arial"/>
              </w:rPr>
              <w:t>.</w:t>
            </w:r>
          </w:p>
          <w:p w14:paraId="5457BC48" w14:textId="77777777" w:rsidR="00481C0C" w:rsidRPr="001E32B8" w:rsidRDefault="00481C0C" w:rsidP="00704FE4">
            <w:pPr>
              <w:pStyle w:val="BodyText"/>
              <w:keepLines/>
              <w:numPr>
                <w:ilvl w:val="0"/>
                <w:numId w:val="14"/>
              </w:numPr>
              <w:ind w:right="544"/>
              <w:rPr>
                <w:rFonts w:ascii="Arial" w:hAnsi="Arial" w:cs="Arial"/>
              </w:rPr>
            </w:pPr>
            <w:r w:rsidRPr="001E32B8">
              <w:rPr>
                <w:rFonts w:ascii="Arial" w:hAnsi="Arial" w:cs="Arial"/>
              </w:rPr>
              <w:t xml:space="preserve">من المقرر أن تقوم المنظمات الداعمة/اللجان الاستشارية بمراجعة ونشر المبادرات الخاصة بها من أجل تعزيز التنوع الداخلي، مدعومةً من مؤسسة </w:t>
            </w:r>
            <w:r w:rsidRPr="001E32B8">
              <w:rPr>
                <w:rFonts w:ascii="Arial" w:hAnsi="Arial" w:cs="Arial"/>
                <w:rtl w:val="0"/>
              </w:rPr>
              <w:t>ICANN</w:t>
            </w:r>
            <w:r w:rsidRPr="001E32B8">
              <w:rPr>
                <w:rFonts w:ascii="Arial" w:hAnsi="Arial" w:cs="Arial"/>
              </w:rPr>
              <w:t xml:space="preserve"> حسب الاقتضاء.</w:t>
            </w:r>
          </w:p>
          <w:p w14:paraId="74DB1467" w14:textId="3D925379" w:rsidR="00481C0C" w:rsidRPr="001E32B8" w:rsidRDefault="00481C0C" w:rsidP="00704FE4">
            <w:pPr>
              <w:pStyle w:val="BodyText"/>
              <w:keepLines/>
              <w:ind w:right="544"/>
              <w:rPr>
                <w:rFonts w:ascii="Arial" w:hAnsi="Arial" w:cs="Arial"/>
              </w:rPr>
            </w:pPr>
          </w:p>
        </w:tc>
        <w:tc>
          <w:tcPr>
            <w:tcW w:w="4804" w:type="dxa"/>
          </w:tcPr>
          <w:p w14:paraId="5D1293AB" w14:textId="77777777" w:rsidR="00A10D81" w:rsidRPr="001E32B8" w:rsidRDefault="000D1296" w:rsidP="00704FE4">
            <w:pPr>
              <w:pStyle w:val="BodyText"/>
              <w:keepLines/>
              <w:ind w:right="544"/>
              <w:rPr>
                <w:rFonts w:ascii="Arial" w:hAnsi="Arial" w:cs="Arial"/>
              </w:rPr>
            </w:pPr>
            <w:r w:rsidRPr="001E32B8">
              <w:rPr>
                <w:rFonts w:ascii="Arial" w:hAnsi="Arial" w:cs="Arial"/>
                <w:b/>
                <w:bCs/>
              </w:rPr>
              <w:t>فرنسا</w:t>
            </w:r>
            <w:r w:rsidRPr="001E32B8">
              <w:rPr>
                <w:rFonts w:ascii="Arial" w:hAnsi="Arial" w:cs="Arial"/>
              </w:rPr>
              <w:t xml:space="preserve">: تأسف الحكومة الفرنسية عن أن المقترح المقدم من أجل إنشاء "مكتب التنوع" -الذي يعد الأداة الصلبة والطموحة الرئيسية في تحسين مستوى التنوع داخل </w:t>
            </w:r>
            <w:proofErr w:type="gramStart"/>
            <w:r w:rsidRPr="001E32B8">
              <w:rPr>
                <w:rFonts w:ascii="Arial" w:hAnsi="Arial" w:cs="Arial"/>
                <w:rtl w:val="0"/>
              </w:rPr>
              <w:t>ICANN</w:t>
            </w:r>
            <w:r w:rsidRPr="001E32B8">
              <w:rPr>
                <w:rFonts w:ascii="Arial" w:hAnsi="Arial" w:cs="Arial"/>
              </w:rPr>
              <w:t>- لم</w:t>
            </w:r>
            <w:proofErr w:type="gramEnd"/>
            <w:r w:rsidRPr="001E32B8">
              <w:rPr>
                <w:rFonts w:ascii="Arial" w:hAnsi="Arial" w:cs="Arial"/>
              </w:rPr>
              <w:t xml:space="preserve"> يتم إدراجه في توصيات مجموعة العمل المجتمعية.</w:t>
            </w:r>
          </w:p>
          <w:p w14:paraId="13AA9833" w14:textId="73EF6E0D" w:rsidR="00E15156" w:rsidRPr="001E32B8" w:rsidRDefault="00E15156" w:rsidP="00704FE4">
            <w:pPr>
              <w:pStyle w:val="BodyText"/>
              <w:keepLines/>
              <w:ind w:right="544"/>
              <w:rPr>
                <w:rFonts w:ascii="Arial" w:hAnsi="Arial" w:cs="Arial"/>
              </w:rPr>
            </w:pPr>
            <w:r w:rsidRPr="001E32B8">
              <w:rPr>
                <w:rFonts w:ascii="Arial" w:hAnsi="Arial" w:cs="Arial"/>
              </w:rPr>
              <w:t xml:space="preserve">تحتوي مقترحات المجموعات الفرعية المعنية بالتنوع على تطورات عدة، بما في ذلك تعريف متعدد الأبعاد للتنوع وبيانات تنشر بانتظام بالإضافة إلى نظام مخصص لتقديم المجتمع استعلامات إلى </w:t>
            </w:r>
            <w:r w:rsidRPr="001E32B8">
              <w:rPr>
                <w:rFonts w:ascii="Arial" w:hAnsi="Arial" w:cs="Arial"/>
                <w:rtl w:val="0"/>
              </w:rPr>
              <w:t>ICANN</w:t>
            </w:r>
            <w:r w:rsidRPr="001E32B8">
              <w:rPr>
                <w:rFonts w:ascii="Arial" w:hAnsi="Arial" w:cs="Arial"/>
              </w:rPr>
              <w:t xml:space="preserve"> حول سير الأعمال في جانب التنوع.</w:t>
            </w:r>
            <w:r w:rsidRPr="001E32B8">
              <w:rPr>
                <w:rStyle w:val="FootnoteReference"/>
                <w:rFonts w:ascii="Arial" w:hAnsi="Arial" w:cs="Arial"/>
                <w:rtl w:val="0"/>
              </w:rPr>
              <w:footnoteReference w:id="1"/>
            </w:r>
          </w:p>
        </w:tc>
      </w:tr>
      <w:tr w:rsidR="00A10D81" w:rsidRPr="001E32B8" w14:paraId="11AE53A9" w14:textId="77777777" w:rsidTr="00A10D81">
        <w:tc>
          <w:tcPr>
            <w:tcW w:w="4803" w:type="dxa"/>
          </w:tcPr>
          <w:p w14:paraId="4370739A" w14:textId="650B038A" w:rsidR="00A10D81" w:rsidRPr="001E32B8" w:rsidRDefault="00D97BFC" w:rsidP="00A92158">
            <w:pPr>
              <w:pStyle w:val="BodyText"/>
              <w:ind w:right="545"/>
              <w:rPr>
                <w:rFonts w:ascii="Arial" w:hAnsi="Arial" w:cs="Arial"/>
                <w:b/>
              </w:rPr>
            </w:pPr>
            <w:r w:rsidRPr="001E32B8">
              <w:rPr>
                <w:rFonts w:ascii="Arial" w:hAnsi="Arial" w:cs="Arial"/>
                <w:b/>
                <w:bCs/>
              </w:rPr>
              <w:t>إرشادات للتصرف بحسن النية في إقالة أعضاء مجلس الإدارة الفرديين</w:t>
            </w:r>
          </w:p>
        </w:tc>
        <w:tc>
          <w:tcPr>
            <w:tcW w:w="4804" w:type="dxa"/>
          </w:tcPr>
          <w:p w14:paraId="4C0FB562" w14:textId="278D0335" w:rsidR="00A10D81" w:rsidRPr="001E32B8" w:rsidRDefault="001A541E" w:rsidP="00A92158">
            <w:pPr>
              <w:pStyle w:val="BodyText"/>
              <w:ind w:right="545"/>
              <w:rPr>
                <w:rFonts w:ascii="Arial" w:hAnsi="Arial" w:cs="Arial"/>
              </w:rPr>
            </w:pPr>
            <w:r w:rsidRPr="001E32B8">
              <w:rPr>
                <w:rFonts w:ascii="Arial" w:hAnsi="Arial" w:cs="Arial"/>
              </w:rPr>
              <w:t>لم تُجرَ أي مناقشات في اللجنة الاستشارية الحكومية.</w:t>
            </w:r>
          </w:p>
        </w:tc>
      </w:tr>
      <w:tr w:rsidR="00A10D81" w:rsidRPr="001E32B8" w14:paraId="158A80C0" w14:textId="77777777" w:rsidTr="00A10D81">
        <w:tc>
          <w:tcPr>
            <w:tcW w:w="4803" w:type="dxa"/>
          </w:tcPr>
          <w:p w14:paraId="5FA1C6D2" w14:textId="77777777" w:rsidR="00A10D81" w:rsidRPr="001E32B8" w:rsidRDefault="00D97BFC" w:rsidP="00A92158">
            <w:pPr>
              <w:pStyle w:val="BodyText"/>
              <w:ind w:right="545"/>
              <w:rPr>
                <w:rFonts w:ascii="Arial" w:hAnsi="Arial" w:cs="Arial"/>
                <w:b/>
              </w:rPr>
            </w:pPr>
            <w:r w:rsidRPr="001E32B8">
              <w:rPr>
                <w:rFonts w:ascii="Arial" w:hAnsi="Arial" w:cs="Arial"/>
                <w:b/>
                <w:bCs/>
              </w:rPr>
              <w:t>إطار عمل التفسير لحقوق الإنسان</w:t>
            </w:r>
          </w:p>
          <w:p w14:paraId="67CC32D0" w14:textId="1BBCB75B" w:rsidR="00481C0C" w:rsidRPr="001E32B8" w:rsidRDefault="00E838B6" w:rsidP="00A92158">
            <w:pPr>
              <w:pStyle w:val="BodyText"/>
              <w:numPr>
                <w:ilvl w:val="0"/>
                <w:numId w:val="15"/>
              </w:numPr>
              <w:ind w:right="545"/>
              <w:rPr>
                <w:rFonts w:ascii="Arial" w:hAnsi="Arial" w:cs="Arial"/>
              </w:rPr>
            </w:pPr>
            <w:r w:rsidRPr="001E32B8">
              <w:rPr>
                <w:rFonts w:ascii="Arial" w:hAnsi="Arial" w:cs="Arial"/>
              </w:rPr>
              <w:t xml:space="preserve">من المفترض بمؤسسة </w:t>
            </w:r>
            <w:r w:rsidRPr="001E32B8">
              <w:rPr>
                <w:rFonts w:ascii="Arial" w:hAnsi="Arial" w:cs="Arial"/>
                <w:rtl w:val="0"/>
              </w:rPr>
              <w:t>ICANN</w:t>
            </w:r>
            <w:r w:rsidRPr="001E32B8">
              <w:rPr>
                <w:rFonts w:ascii="Arial" w:hAnsi="Arial" w:cs="Arial"/>
              </w:rPr>
              <w:t xml:space="preserve"> تطبيق إطار عمل التفسير المقترح بالإضافة إلى اعتبارات فيما يخص لائحة حقوق الإنسان في </w:t>
            </w:r>
            <w:r w:rsidRPr="001E32B8">
              <w:rPr>
                <w:rFonts w:ascii="Arial" w:hAnsi="Arial" w:cs="Arial"/>
                <w:rtl w:val="0"/>
              </w:rPr>
              <w:t>ICANN</w:t>
            </w:r>
            <w:r w:rsidRPr="001E32B8">
              <w:rPr>
                <w:rFonts w:ascii="Arial" w:hAnsi="Arial" w:cs="Arial"/>
              </w:rPr>
              <w:t>.</w:t>
            </w:r>
          </w:p>
        </w:tc>
        <w:tc>
          <w:tcPr>
            <w:tcW w:w="4804" w:type="dxa"/>
          </w:tcPr>
          <w:p w14:paraId="1FC64D26" w14:textId="19864B13" w:rsidR="00A10D81" w:rsidRPr="001E32B8" w:rsidRDefault="001A541E" w:rsidP="00A92158">
            <w:pPr>
              <w:pStyle w:val="BodyText"/>
              <w:ind w:right="545"/>
              <w:rPr>
                <w:rFonts w:ascii="Arial" w:hAnsi="Arial" w:cs="Arial"/>
              </w:rPr>
            </w:pPr>
            <w:r w:rsidRPr="001E32B8">
              <w:rPr>
                <w:rFonts w:ascii="Arial" w:hAnsi="Arial" w:cs="Arial"/>
              </w:rPr>
              <w:t>لم تُجرَ أي مناقشات موضوعية في اللجنة الاستشارية الحكومية.</w:t>
            </w:r>
          </w:p>
        </w:tc>
      </w:tr>
      <w:tr w:rsidR="00A10D81" w:rsidRPr="001E32B8" w14:paraId="5E01705A" w14:textId="77777777" w:rsidTr="00A10D81">
        <w:tc>
          <w:tcPr>
            <w:tcW w:w="4803" w:type="dxa"/>
          </w:tcPr>
          <w:p w14:paraId="6B64FF36" w14:textId="77777777" w:rsidR="00A10D81" w:rsidRPr="001E32B8" w:rsidRDefault="00D97BFC" w:rsidP="00A92158">
            <w:pPr>
              <w:pStyle w:val="BodyText"/>
              <w:ind w:right="545"/>
              <w:rPr>
                <w:rFonts w:ascii="Arial" w:hAnsi="Arial" w:cs="Arial"/>
                <w:b/>
              </w:rPr>
            </w:pPr>
            <w:r w:rsidRPr="001E32B8">
              <w:rPr>
                <w:rFonts w:ascii="Arial" w:hAnsi="Arial" w:cs="Arial"/>
                <w:b/>
                <w:bCs/>
              </w:rPr>
              <w:t>الاختصاص القضائي</w:t>
            </w:r>
          </w:p>
          <w:p w14:paraId="00A082A5" w14:textId="77777777" w:rsidR="00481C0C" w:rsidRPr="001E32B8" w:rsidRDefault="00481C0C" w:rsidP="00481C0C">
            <w:pPr>
              <w:pStyle w:val="BodyText"/>
              <w:numPr>
                <w:ilvl w:val="0"/>
                <w:numId w:val="13"/>
              </w:numPr>
              <w:ind w:right="545"/>
              <w:rPr>
                <w:rFonts w:ascii="Arial" w:hAnsi="Arial" w:cs="Arial"/>
              </w:rPr>
            </w:pPr>
            <w:r w:rsidRPr="001E32B8">
              <w:rPr>
                <w:rFonts w:ascii="Arial" w:hAnsi="Arial" w:cs="Arial"/>
              </w:rPr>
              <w:t xml:space="preserve">يجب أن يكون لمؤسسة </w:t>
            </w:r>
            <w:r w:rsidRPr="001E32B8">
              <w:rPr>
                <w:rFonts w:ascii="Arial" w:hAnsi="Arial" w:cs="Arial"/>
                <w:rtl w:val="0"/>
              </w:rPr>
              <w:t>ICANN</w:t>
            </w:r>
            <w:r w:rsidRPr="001E32B8">
              <w:rPr>
                <w:rFonts w:ascii="Arial" w:hAnsi="Arial" w:cs="Arial"/>
              </w:rPr>
              <w:t xml:space="preserve"> السبق في تسهيل تراخيص مكتب مراقبة الأصول الأجنبية.</w:t>
            </w:r>
          </w:p>
          <w:p w14:paraId="28C0AE63" w14:textId="605BC2AF" w:rsidR="00481C0C" w:rsidRPr="001E32B8" w:rsidRDefault="00481C0C" w:rsidP="00481C0C">
            <w:pPr>
              <w:pStyle w:val="BodyText"/>
              <w:numPr>
                <w:ilvl w:val="0"/>
                <w:numId w:val="13"/>
              </w:numPr>
              <w:ind w:right="545"/>
              <w:rPr>
                <w:rFonts w:ascii="Arial" w:hAnsi="Arial" w:cs="Arial"/>
              </w:rPr>
            </w:pPr>
            <w:r w:rsidRPr="001E32B8">
              <w:rPr>
                <w:rFonts w:ascii="Arial" w:hAnsi="Arial" w:cs="Arial"/>
              </w:rPr>
              <w:t xml:space="preserve">لقي نهج "القائمة" من أجل تمكين الأطراف في اتفاقيات </w:t>
            </w:r>
            <w:r w:rsidRPr="001E32B8">
              <w:rPr>
                <w:rFonts w:ascii="Arial" w:hAnsi="Arial" w:cs="Arial"/>
                <w:rtl w:val="0"/>
              </w:rPr>
              <w:t>ICANN</w:t>
            </w:r>
            <w:r w:rsidRPr="001E32B8">
              <w:rPr>
                <w:rFonts w:ascii="Arial" w:hAnsi="Arial" w:cs="Arial"/>
              </w:rPr>
              <w:t xml:space="preserve"> من اختيار القانون واجب التطبيق قبل تنفيذ أي عقد دعمًا؛ على الرغم من وجود خيارات أخرى.</w:t>
            </w:r>
          </w:p>
          <w:p w14:paraId="7D7A0656" w14:textId="414EA1C3" w:rsidR="00481C0C" w:rsidRPr="001E32B8" w:rsidRDefault="00481C0C" w:rsidP="00A92158">
            <w:pPr>
              <w:pStyle w:val="BodyText"/>
              <w:ind w:right="545"/>
              <w:rPr>
                <w:rFonts w:ascii="Arial" w:hAnsi="Arial" w:cs="Arial"/>
              </w:rPr>
            </w:pPr>
          </w:p>
        </w:tc>
        <w:tc>
          <w:tcPr>
            <w:tcW w:w="4804" w:type="dxa"/>
          </w:tcPr>
          <w:p w14:paraId="3C8CBD87" w14:textId="6428CAFC" w:rsidR="00A10D81" w:rsidRPr="001E32B8" w:rsidRDefault="000D1296" w:rsidP="00A92158">
            <w:pPr>
              <w:pStyle w:val="BodyText"/>
              <w:ind w:right="545"/>
              <w:rPr>
                <w:rFonts w:ascii="Arial" w:hAnsi="Arial" w:cs="Arial"/>
              </w:rPr>
            </w:pPr>
            <w:r w:rsidRPr="001E32B8">
              <w:rPr>
                <w:rFonts w:ascii="Arial" w:hAnsi="Arial" w:cs="Arial"/>
                <w:b/>
                <w:bCs/>
              </w:rPr>
              <w:t>فرنسا</w:t>
            </w:r>
            <w:r w:rsidRPr="001E32B8">
              <w:rPr>
                <w:rFonts w:ascii="Arial" w:hAnsi="Arial" w:cs="Arial"/>
              </w:rPr>
              <w:t>: مع الأخذ في الاعتبار الخلافات الشديدة داخل المجموعة الفرعية، تشجع الحكومة الفرنسية أعضاء المجموعة الفرعية على استكشاف مسارات جديدة من أجل تقديم الحصانات، بما في ذلك الحصانات الجزئية، من الاختصاص القضائي وذلك لضمان استقلاليتها ومسائلتها أمام جميع مجتمع الإنترنت الدولي.</w:t>
            </w:r>
            <w:r w:rsidRPr="001E32B8">
              <w:rPr>
                <w:rStyle w:val="FootnoteReference"/>
                <w:rFonts w:ascii="Arial" w:hAnsi="Arial" w:cs="Arial"/>
                <w:rtl w:val="0"/>
              </w:rPr>
              <w:footnoteReference w:id="2"/>
            </w:r>
          </w:p>
          <w:p w14:paraId="4D52011C" w14:textId="2B7EF4AA" w:rsidR="00927979" w:rsidRPr="001E32B8" w:rsidRDefault="00927979" w:rsidP="00A92158">
            <w:pPr>
              <w:pStyle w:val="BodyText"/>
              <w:ind w:right="545"/>
              <w:rPr>
                <w:rFonts w:ascii="Arial" w:hAnsi="Arial" w:cs="Arial"/>
              </w:rPr>
            </w:pPr>
            <w:r w:rsidRPr="001E32B8">
              <w:rPr>
                <w:rFonts w:ascii="Arial" w:hAnsi="Arial" w:cs="Arial"/>
                <w:b/>
                <w:bCs/>
              </w:rPr>
              <w:t>البرازيل</w:t>
            </w:r>
            <w:r w:rsidRPr="001E32B8">
              <w:rPr>
                <w:rFonts w:ascii="Arial" w:hAnsi="Arial" w:cs="Arial"/>
              </w:rPr>
              <w:t>: يجب أن يتوفر الوقت الكافي أمام اللجنة الاستشارية الحكومية لمناقشة التوصيات المقدمة بشأن الاختصاص القضائي والتوصل إلى موقف إيجابي إن أمكن ذلك.</w:t>
            </w:r>
            <w:r w:rsidRPr="001E32B8">
              <w:rPr>
                <w:rStyle w:val="FootnoteReference"/>
                <w:rFonts w:ascii="Arial" w:hAnsi="Arial" w:cs="Arial"/>
                <w:rtl w:val="0"/>
              </w:rPr>
              <w:footnoteReference w:id="3"/>
            </w:r>
          </w:p>
        </w:tc>
      </w:tr>
      <w:tr w:rsidR="00A10D81" w:rsidRPr="001E32B8" w14:paraId="3AEE549B" w14:textId="77777777" w:rsidTr="00A10D81">
        <w:tc>
          <w:tcPr>
            <w:tcW w:w="4803" w:type="dxa"/>
          </w:tcPr>
          <w:p w14:paraId="78401D16" w14:textId="4B12F40D" w:rsidR="00A10D81" w:rsidRPr="001E32B8" w:rsidRDefault="00D97BFC" w:rsidP="00A92158">
            <w:pPr>
              <w:pStyle w:val="BodyText"/>
              <w:ind w:right="545"/>
              <w:rPr>
                <w:rFonts w:ascii="Arial" w:hAnsi="Arial" w:cs="Arial"/>
                <w:b/>
              </w:rPr>
            </w:pPr>
            <w:r w:rsidRPr="001E32B8">
              <w:rPr>
                <w:rFonts w:ascii="Arial" w:hAnsi="Arial" w:cs="Arial"/>
                <w:b/>
                <w:bCs/>
              </w:rPr>
              <w:t xml:space="preserve">أمين المظالم لدى </w:t>
            </w:r>
            <w:r w:rsidRPr="001E32B8">
              <w:rPr>
                <w:rFonts w:ascii="Arial" w:hAnsi="Arial" w:cs="Arial"/>
                <w:b/>
                <w:rtl w:val="0"/>
              </w:rPr>
              <w:t>ICANN</w:t>
            </w:r>
          </w:p>
        </w:tc>
        <w:tc>
          <w:tcPr>
            <w:tcW w:w="4804" w:type="dxa"/>
          </w:tcPr>
          <w:p w14:paraId="7DCD457B" w14:textId="77777777" w:rsidR="00A10D81" w:rsidRPr="001E32B8" w:rsidRDefault="001A541E" w:rsidP="00A92158">
            <w:pPr>
              <w:pStyle w:val="BodyText"/>
              <w:ind w:right="545"/>
              <w:rPr>
                <w:rFonts w:ascii="Arial" w:hAnsi="Arial" w:cs="Arial"/>
              </w:rPr>
            </w:pPr>
            <w:r w:rsidRPr="001E32B8">
              <w:rPr>
                <w:rFonts w:ascii="Arial" w:hAnsi="Arial" w:cs="Arial"/>
              </w:rPr>
              <w:t>لم تُجرَ أي مناقشات موضوعية في اللجنة الاستشارية الحكومية.</w:t>
            </w:r>
          </w:p>
          <w:p w14:paraId="4EA8C084" w14:textId="2BB6C91C" w:rsidR="00D662AE" w:rsidRPr="001E32B8" w:rsidRDefault="00D662AE" w:rsidP="00A92158">
            <w:pPr>
              <w:pStyle w:val="BodyText"/>
              <w:ind w:right="545"/>
              <w:rPr>
                <w:rFonts w:ascii="Arial" w:hAnsi="Arial" w:cs="Arial"/>
              </w:rPr>
            </w:pPr>
            <w:r w:rsidRPr="001E32B8">
              <w:rPr>
                <w:rFonts w:ascii="Arial" w:hAnsi="Arial" w:cs="Arial"/>
              </w:rPr>
              <w:t xml:space="preserve">لدى مجلس إدارة </w:t>
            </w:r>
            <w:r w:rsidRPr="001E32B8">
              <w:rPr>
                <w:rFonts w:ascii="Arial" w:hAnsi="Arial" w:cs="Arial"/>
                <w:rtl w:val="0"/>
              </w:rPr>
              <w:t>ICANN</w:t>
            </w:r>
            <w:r w:rsidRPr="001E32B8">
              <w:rPr>
                <w:rFonts w:ascii="Arial" w:hAnsi="Arial" w:cs="Arial"/>
              </w:rPr>
              <w:t xml:space="preserve"> بعض المخاوف. وهي قيد النقاش مع الرؤساء المشاركين في مجموعة العمل المجتمعية.</w:t>
            </w:r>
          </w:p>
        </w:tc>
      </w:tr>
      <w:tr w:rsidR="00A10D81" w:rsidRPr="001E32B8" w14:paraId="131598E2" w14:textId="77777777" w:rsidTr="00A10D81">
        <w:tc>
          <w:tcPr>
            <w:tcW w:w="4803" w:type="dxa"/>
          </w:tcPr>
          <w:p w14:paraId="398EB55E" w14:textId="26A70DCD" w:rsidR="00A10D81" w:rsidRPr="001E32B8" w:rsidRDefault="00D97BFC" w:rsidP="00A92158">
            <w:pPr>
              <w:pStyle w:val="BodyText"/>
              <w:ind w:right="545"/>
              <w:rPr>
                <w:rFonts w:ascii="Arial" w:hAnsi="Arial" w:cs="Arial"/>
                <w:b/>
              </w:rPr>
            </w:pPr>
            <w:r w:rsidRPr="001E32B8">
              <w:rPr>
                <w:rFonts w:ascii="Arial" w:hAnsi="Arial" w:cs="Arial"/>
                <w:b/>
                <w:bCs/>
              </w:rPr>
              <w:t>مساءلة المنظمات الداعمة/اللجان الاستشارية</w:t>
            </w:r>
          </w:p>
          <w:p w14:paraId="6430912D" w14:textId="2B03985F" w:rsidR="00481C0C" w:rsidRPr="001E32B8" w:rsidRDefault="00481C0C" w:rsidP="00704FE4">
            <w:pPr>
              <w:pStyle w:val="BodyText"/>
              <w:numPr>
                <w:ilvl w:val="0"/>
                <w:numId w:val="15"/>
              </w:numPr>
              <w:ind w:right="545"/>
              <w:rPr>
                <w:rFonts w:ascii="Arial" w:hAnsi="Arial" w:cs="Arial"/>
              </w:rPr>
            </w:pPr>
            <w:r w:rsidRPr="001E32B8">
              <w:rPr>
                <w:rFonts w:ascii="Arial" w:hAnsi="Arial" w:cs="Arial"/>
              </w:rPr>
              <w:t xml:space="preserve">من المقرر أن تنفذ المنظمات الداعمة/اللجان الاستشارية الممارسات الجيدة </w:t>
            </w:r>
            <w:proofErr w:type="spellStart"/>
            <w:r w:rsidRPr="001E32B8">
              <w:rPr>
                <w:rFonts w:ascii="Arial" w:hAnsi="Arial" w:cs="Arial"/>
              </w:rPr>
              <w:t>الموصى</w:t>
            </w:r>
            <w:proofErr w:type="spellEnd"/>
            <w:r w:rsidRPr="001E32B8">
              <w:rPr>
                <w:rFonts w:ascii="Arial" w:hAnsi="Arial" w:cs="Arial"/>
              </w:rPr>
              <w:t xml:space="preserve"> بها (متى ينطبق ذلك على هيكلها وغرضها) فيما يخص المساءلة والشفافية والمشاركة والتوعية والتحديثات على القواعد والإجراءات.</w:t>
            </w:r>
          </w:p>
        </w:tc>
        <w:tc>
          <w:tcPr>
            <w:tcW w:w="4804" w:type="dxa"/>
          </w:tcPr>
          <w:p w14:paraId="363E6781" w14:textId="369B0A3E" w:rsidR="00A10D81" w:rsidRPr="001E32B8" w:rsidRDefault="002B5CC4" w:rsidP="00A92158">
            <w:pPr>
              <w:pStyle w:val="BodyText"/>
              <w:ind w:right="545"/>
              <w:rPr>
                <w:rFonts w:ascii="Arial" w:hAnsi="Arial" w:cs="Arial"/>
              </w:rPr>
            </w:pPr>
            <w:r w:rsidRPr="001E32B8">
              <w:rPr>
                <w:rFonts w:ascii="Arial" w:hAnsi="Arial" w:cs="Arial"/>
              </w:rPr>
              <w:t>لم تُجرَ أي مناقشات موضوعية في اللجنة الاستشارية الحكومية.</w:t>
            </w:r>
          </w:p>
        </w:tc>
      </w:tr>
      <w:tr w:rsidR="00A10D81" w:rsidRPr="001E32B8" w14:paraId="10C269E3" w14:textId="77777777" w:rsidTr="00A10D81">
        <w:tc>
          <w:tcPr>
            <w:tcW w:w="4803" w:type="dxa"/>
          </w:tcPr>
          <w:p w14:paraId="3E96C17C" w14:textId="7E294E4F" w:rsidR="00A10D81" w:rsidRPr="001E32B8" w:rsidRDefault="00481C0C" w:rsidP="00A92158">
            <w:pPr>
              <w:pStyle w:val="BodyText"/>
              <w:ind w:right="545"/>
              <w:rPr>
                <w:rFonts w:ascii="Arial" w:hAnsi="Arial" w:cs="Arial"/>
                <w:b/>
              </w:rPr>
            </w:pPr>
            <w:r w:rsidRPr="001E32B8">
              <w:rPr>
                <w:rFonts w:ascii="Arial" w:hAnsi="Arial" w:cs="Arial"/>
                <w:b/>
                <w:bCs/>
              </w:rPr>
              <w:lastRenderedPageBreak/>
              <w:t>مساءلة فريق العمل</w:t>
            </w:r>
          </w:p>
        </w:tc>
        <w:tc>
          <w:tcPr>
            <w:tcW w:w="4804" w:type="dxa"/>
          </w:tcPr>
          <w:p w14:paraId="38899268" w14:textId="6A121DB3" w:rsidR="00A10D81" w:rsidRPr="001E32B8" w:rsidRDefault="001A541E" w:rsidP="00A92158">
            <w:pPr>
              <w:pStyle w:val="BodyText"/>
              <w:ind w:right="545"/>
              <w:rPr>
                <w:rFonts w:ascii="Arial" w:hAnsi="Arial" w:cs="Arial"/>
              </w:rPr>
            </w:pPr>
            <w:r w:rsidRPr="001E32B8">
              <w:rPr>
                <w:rFonts w:ascii="Arial" w:hAnsi="Arial" w:cs="Arial"/>
              </w:rPr>
              <w:t>لم تُجرَ أي مناقشات في اللجنة الاستشارية الحكومية.</w:t>
            </w:r>
          </w:p>
        </w:tc>
      </w:tr>
      <w:tr w:rsidR="00A10D81" w:rsidRPr="001E32B8" w14:paraId="16710921" w14:textId="77777777" w:rsidTr="00A10D81">
        <w:tc>
          <w:tcPr>
            <w:tcW w:w="4803" w:type="dxa"/>
          </w:tcPr>
          <w:p w14:paraId="681053DA" w14:textId="71C9326F" w:rsidR="00A10D81" w:rsidRPr="001E32B8" w:rsidRDefault="00D97BFC" w:rsidP="00A92158">
            <w:pPr>
              <w:pStyle w:val="BodyText"/>
              <w:ind w:right="545"/>
              <w:rPr>
                <w:rFonts w:ascii="Arial" w:hAnsi="Arial" w:cs="Arial"/>
                <w:b/>
              </w:rPr>
            </w:pPr>
            <w:r w:rsidRPr="001E32B8">
              <w:rPr>
                <w:rFonts w:ascii="Arial" w:hAnsi="Arial" w:cs="Arial"/>
                <w:b/>
                <w:bCs/>
              </w:rPr>
              <w:t xml:space="preserve">شفافية </w:t>
            </w:r>
            <w:r w:rsidRPr="001E32B8">
              <w:rPr>
                <w:rFonts w:ascii="Arial" w:hAnsi="Arial" w:cs="Arial"/>
                <w:b/>
                <w:rtl w:val="0"/>
              </w:rPr>
              <w:t>ICANN</w:t>
            </w:r>
          </w:p>
          <w:p w14:paraId="38969D45" w14:textId="77777777" w:rsidR="00481C0C" w:rsidRPr="001E32B8" w:rsidRDefault="00481C0C" w:rsidP="00481C0C">
            <w:pPr>
              <w:pStyle w:val="BodyText"/>
              <w:numPr>
                <w:ilvl w:val="0"/>
                <w:numId w:val="15"/>
              </w:numPr>
              <w:ind w:right="545"/>
              <w:rPr>
                <w:rFonts w:ascii="Arial" w:hAnsi="Arial" w:cs="Arial"/>
              </w:rPr>
            </w:pPr>
            <w:r w:rsidRPr="001E32B8">
              <w:rPr>
                <w:rFonts w:ascii="Arial" w:hAnsi="Arial" w:cs="Arial"/>
              </w:rPr>
              <w:t xml:space="preserve">تفصح </w:t>
            </w:r>
            <w:r w:rsidRPr="001E32B8">
              <w:rPr>
                <w:rFonts w:ascii="Arial" w:hAnsi="Arial" w:cs="Arial"/>
                <w:rtl w:val="0"/>
              </w:rPr>
              <w:t>ICANN</w:t>
            </w:r>
            <w:r w:rsidRPr="001E32B8">
              <w:rPr>
                <w:rFonts w:ascii="Arial" w:hAnsi="Arial" w:cs="Arial"/>
              </w:rPr>
              <w:t xml:space="preserve"> بانتظام وبشكل عام عن تعاملاتها مع الحكومات.</w:t>
            </w:r>
          </w:p>
          <w:p w14:paraId="0D64F598" w14:textId="1A2FC57A" w:rsidR="00481C0C" w:rsidRPr="001E32B8" w:rsidRDefault="00481C0C" w:rsidP="00A92158">
            <w:pPr>
              <w:pStyle w:val="BodyText"/>
              <w:numPr>
                <w:ilvl w:val="0"/>
                <w:numId w:val="15"/>
              </w:numPr>
              <w:ind w:right="545"/>
              <w:rPr>
                <w:rFonts w:ascii="Arial" w:hAnsi="Arial" w:cs="Arial"/>
              </w:rPr>
            </w:pPr>
            <w:r w:rsidRPr="001E32B8">
              <w:rPr>
                <w:rFonts w:ascii="Arial" w:hAnsi="Arial" w:cs="Arial"/>
              </w:rPr>
              <w:t xml:space="preserve">تقوم </w:t>
            </w:r>
            <w:r w:rsidRPr="001E32B8">
              <w:rPr>
                <w:rFonts w:ascii="Arial" w:hAnsi="Arial" w:cs="Arial"/>
                <w:rtl w:val="0"/>
              </w:rPr>
              <w:t>ICANN</w:t>
            </w:r>
            <w:r w:rsidRPr="001E32B8">
              <w:rPr>
                <w:rFonts w:ascii="Arial" w:hAnsi="Arial" w:cs="Arial"/>
              </w:rPr>
              <w:t xml:space="preserve"> بتحسين ترتيبات الإفصاح عن المعلومات والتبليغ عن المخالفات.</w:t>
            </w:r>
          </w:p>
        </w:tc>
        <w:tc>
          <w:tcPr>
            <w:tcW w:w="4804" w:type="dxa"/>
          </w:tcPr>
          <w:p w14:paraId="08E05507" w14:textId="77777777" w:rsidR="00A10D81" w:rsidRPr="001E32B8" w:rsidRDefault="002B5CC4" w:rsidP="00A92158">
            <w:pPr>
              <w:pStyle w:val="BodyText"/>
              <w:ind w:right="545"/>
              <w:rPr>
                <w:rFonts w:ascii="Arial" w:hAnsi="Arial" w:cs="Arial"/>
              </w:rPr>
            </w:pPr>
            <w:r w:rsidRPr="001E32B8">
              <w:rPr>
                <w:rFonts w:ascii="Arial" w:hAnsi="Arial" w:cs="Arial"/>
              </w:rPr>
              <w:t>لم تُجرَ أي مناقشات في اللجنة الاستشارية الحكومية.</w:t>
            </w:r>
          </w:p>
          <w:p w14:paraId="752E90AC" w14:textId="479DA9F4" w:rsidR="00D662AE" w:rsidRPr="001E32B8" w:rsidRDefault="00D662AE" w:rsidP="00A92158">
            <w:pPr>
              <w:pStyle w:val="BodyText"/>
              <w:ind w:right="545"/>
              <w:rPr>
                <w:rFonts w:ascii="Arial" w:hAnsi="Arial" w:cs="Arial"/>
              </w:rPr>
            </w:pPr>
            <w:r w:rsidRPr="001E32B8">
              <w:rPr>
                <w:rFonts w:ascii="Arial" w:hAnsi="Arial" w:cs="Arial"/>
              </w:rPr>
              <w:t xml:space="preserve">لدى مجلس إدارة </w:t>
            </w:r>
            <w:r w:rsidRPr="001E32B8">
              <w:rPr>
                <w:rFonts w:ascii="Arial" w:hAnsi="Arial" w:cs="Arial"/>
                <w:rtl w:val="0"/>
              </w:rPr>
              <w:t>ICANN</w:t>
            </w:r>
            <w:r w:rsidRPr="001E32B8">
              <w:rPr>
                <w:rFonts w:ascii="Arial" w:hAnsi="Arial" w:cs="Arial"/>
              </w:rPr>
              <w:t xml:space="preserve"> بعض المخاوف. وهي قيد النقاش مع الرؤساء المشاركين في مجموعة العمل المجتمعية.</w:t>
            </w:r>
          </w:p>
        </w:tc>
      </w:tr>
    </w:tbl>
    <w:p w14:paraId="565591CE" w14:textId="5CC3E9BD" w:rsidR="001D64DD" w:rsidRPr="001E32B8" w:rsidRDefault="001D64DD" w:rsidP="001D64DD">
      <w:pPr>
        <w:pStyle w:val="BodyText"/>
        <w:ind w:right="545"/>
        <w:rPr>
          <w:rFonts w:ascii="Arial" w:hAnsi="Arial" w:cs="Arial"/>
        </w:rPr>
      </w:pPr>
    </w:p>
    <w:p w14:paraId="084AABDB" w14:textId="1E640A76" w:rsidR="001D64DD" w:rsidRPr="001E32B8" w:rsidRDefault="00E00260" w:rsidP="001A541E">
      <w:pPr>
        <w:pStyle w:val="BodyText"/>
        <w:numPr>
          <w:ilvl w:val="0"/>
          <w:numId w:val="16"/>
        </w:numPr>
        <w:ind w:right="545"/>
        <w:rPr>
          <w:rFonts w:ascii="Arial" w:hAnsi="Arial" w:cs="Arial"/>
          <w:b/>
          <w:color w:val="2E74B5" w:themeColor="accent1" w:themeShade="BF"/>
        </w:rPr>
      </w:pPr>
      <w:r w:rsidRPr="001E32B8">
        <w:rPr>
          <w:rFonts w:ascii="Arial" w:hAnsi="Arial" w:cs="Arial"/>
          <w:b/>
          <w:bCs/>
          <w:color w:val="2E74B5" w:themeColor="accent1" w:themeShade="BF"/>
        </w:rPr>
        <w:t xml:space="preserve">موقف اللجنة الاستشارية الحكومية كمنظمة مؤسِّسة لمجموعة العمل المجتمعية </w:t>
      </w:r>
    </w:p>
    <w:p w14:paraId="5171B0E4" w14:textId="698FDF6F" w:rsidR="00352E3D" w:rsidRPr="00704FE4" w:rsidRDefault="007F0696" w:rsidP="00352E3D">
      <w:pPr>
        <w:pStyle w:val="BodyText"/>
        <w:ind w:right="545"/>
        <w:rPr>
          <w:rFonts w:ascii="Arial" w:hAnsi="Arial" w:cs="Arial"/>
        </w:rPr>
      </w:pPr>
      <w:r w:rsidRPr="00704FE4">
        <w:rPr>
          <w:rFonts w:ascii="Arial" w:hAnsi="Arial" w:cs="Arial"/>
        </w:rPr>
        <w:t xml:space="preserve">تعد اللجنة الاستشارية الحكومية (بالإضافة إلى المنظمات الداعمة واللجان الاستشارية الأخرى) منظمة مؤسِّسة لمجموعة العمل المجتمعية. وينص </w:t>
      </w:r>
      <w:hyperlink r:id="rId9">
        <w:r w:rsidRPr="00704FE4">
          <w:rPr>
            <w:rStyle w:val="Hyperlink"/>
            <w:rFonts w:ascii="Arial" w:hAnsi="Arial" w:cs="Arial"/>
          </w:rPr>
          <w:t>الميثاق</w:t>
        </w:r>
      </w:hyperlink>
      <w:r w:rsidRPr="00704FE4">
        <w:rPr>
          <w:rFonts w:ascii="Arial" w:hAnsi="Arial" w:cs="Arial"/>
        </w:rPr>
        <w:t xml:space="preserve"> على ما يلي: "...يتعين على كل من المنظمات المؤسِّسة -وفقًا لقواعدها </w:t>
      </w:r>
      <w:proofErr w:type="gramStart"/>
      <w:r w:rsidRPr="00704FE4">
        <w:rPr>
          <w:rFonts w:ascii="Arial" w:hAnsi="Arial" w:cs="Arial"/>
        </w:rPr>
        <w:t>وإجراءاتها- مراجعة</w:t>
      </w:r>
      <w:proofErr w:type="gramEnd"/>
      <w:r w:rsidRPr="00704FE4">
        <w:rPr>
          <w:rFonts w:ascii="Arial" w:hAnsi="Arial" w:cs="Arial"/>
        </w:rPr>
        <w:t xml:space="preserve"> ومناقشة مسودة المقترحات واتخاذ قرار فيما إن كان من المفترض اعتماد التوصيات المدرجة فيها أم لا."</w:t>
      </w:r>
    </w:p>
    <w:p w14:paraId="59B41F0B" w14:textId="4AC105B8" w:rsidR="00352E3D" w:rsidRPr="001E32B8" w:rsidRDefault="00F80CBA" w:rsidP="00352E3D">
      <w:pPr>
        <w:pStyle w:val="BodyText"/>
        <w:ind w:right="545"/>
        <w:rPr>
          <w:rFonts w:ascii="Arial" w:hAnsi="Arial" w:cs="Arial"/>
        </w:rPr>
      </w:pPr>
      <w:r w:rsidRPr="001E32B8">
        <w:rPr>
          <w:rFonts w:ascii="Arial" w:hAnsi="Arial" w:cs="Arial"/>
        </w:rPr>
        <w:t>لدى اللجنة الاستشارية الحكومية عدد من الخيارات المحتملة للرد:</w:t>
      </w:r>
    </w:p>
    <w:p w14:paraId="6A052E3F" w14:textId="089BCF3B" w:rsidR="00E5754C" w:rsidRPr="001E32B8" w:rsidRDefault="00E5754C" w:rsidP="00E5754C">
      <w:pPr>
        <w:pStyle w:val="BodyText"/>
        <w:numPr>
          <w:ilvl w:val="0"/>
          <w:numId w:val="18"/>
        </w:numPr>
        <w:ind w:right="545"/>
        <w:rPr>
          <w:rFonts w:ascii="Arial" w:hAnsi="Arial" w:cs="Arial"/>
        </w:rPr>
      </w:pPr>
      <w:r w:rsidRPr="001E32B8">
        <w:rPr>
          <w:rFonts w:ascii="Arial" w:hAnsi="Arial" w:cs="Arial"/>
        </w:rPr>
        <w:t>دعم اعتماد جميع التوصيات.</w:t>
      </w:r>
    </w:p>
    <w:p w14:paraId="5C69C0FB" w14:textId="14571A6B" w:rsidR="00E5754C" w:rsidRPr="001E32B8" w:rsidRDefault="00E5754C" w:rsidP="00E5754C">
      <w:pPr>
        <w:pStyle w:val="BodyText"/>
        <w:numPr>
          <w:ilvl w:val="0"/>
          <w:numId w:val="18"/>
        </w:numPr>
        <w:ind w:right="545"/>
        <w:rPr>
          <w:rFonts w:ascii="Arial" w:hAnsi="Arial" w:cs="Arial"/>
        </w:rPr>
      </w:pPr>
      <w:r w:rsidRPr="001E32B8">
        <w:rPr>
          <w:rFonts w:ascii="Arial" w:hAnsi="Arial" w:cs="Arial"/>
        </w:rPr>
        <w:t>الإشارة إلى نواحٍ محددة من الخلاف واقتراح بدائل. وقد يشتمل ذلك، مثلاً، على قضايا خاصة يجب تناولها كجزء من عملية التنفيذ؛ و/أو مواصلة مراجعة القضايا المستمرة في منتدى آخر (ربما أكثر بساطة أو أقل تركيزًا في الموارد).</w:t>
      </w:r>
    </w:p>
    <w:p w14:paraId="412A8102" w14:textId="4859A74A" w:rsidR="00F80CBA" w:rsidRPr="00704FE4" w:rsidRDefault="007F0696" w:rsidP="00E5754C">
      <w:pPr>
        <w:pStyle w:val="BodyText"/>
        <w:numPr>
          <w:ilvl w:val="0"/>
          <w:numId w:val="18"/>
        </w:numPr>
        <w:ind w:right="545"/>
        <w:rPr>
          <w:rFonts w:ascii="Arial" w:hAnsi="Arial" w:cs="Arial"/>
        </w:rPr>
      </w:pPr>
      <w:r w:rsidRPr="00704FE4">
        <w:rPr>
          <w:rFonts w:ascii="Arial" w:hAnsi="Arial" w:cs="Arial"/>
        </w:rPr>
        <w:t xml:space="preserve">بالنسبة لتوصيات مجموعة العمل المجتمعية لمسار العمل 1، عبرت اللجنة الاستشارية الحكومية عن موقفها على النحو التالي: "في حين عبرت بعض الوفود عن تأييدها للمقترح، إلا أنه كانت هناك وفودًا أخرى لم تؤيد المصادقة على المقترح برمته. وعلى الرغم من هذا الاختلاف في الآراء، لم يكن لدى اللجنة الاستشارية الحكومية أي اعتراض على نقل وإرسال المقترح إلى مجلس إدارة </w:t>
      </w:r>
      <w:r w:rsidRPr="00704FE4">
        <w:rPr>
          <w:rFonts w:ascii="Arial" w:hAnsi="Arial" w:cs="Arial"/>
          <w:rtl w:val="0"/>
        </w:rPr>
        <w:t>ICANN</w:t>
      </w:r>
      <w:r w:rsidRPr="00704FE4">
        <w:rPr>
          <w:rFonts w:ascii="Arial" w:hAnsi="Arial" w:cs="Arial"/>
        </w:rPr>
        <w:t>."</w:t>
      </w:r>
      <w:r w:rsidRPr="00704FE4">
        <w:rPr>
          <w:rStyle w:val="FootnoteReference"/>
          <w:rFonts w:ascii="Arial" w:hAnsi="Arial" w:cs="Arial"/>
          <w:rtl w:val="0"/>
        </w:rPr>
        <w:footnoteReference w:id="4"/>
      </w:r>
    </w:p>
    <w:p w14:paraId="3273998D" w14:textId="77777777" w:rsidR="00D662AE" w:rsidRPr="001E32B8" w:rsidRDefault="00D662AE" w:rsidP="00D662AE">
      <w:pPr>
        <w:pStyle w:val="BodyText"/>
        <w:ind w:left="360" w:right="545"/>
        <w:rPr>
          <w:rFonts w:ascii="Arial" w:hAnsi="Arial" w:cs="Arial"/>
        </w:rPr>
      </w:pPr>
    </w:p>
    <w:p w14:paraId="3B2525D7" w14:textId="6E71691F" w:rsidR="001A5355" w:rsidRPr="001E32B8" w:rsidRDefault="00B1475A" w:rsidP="00704FE4">
      <w:pPr>
        <w:pStyle w:val="Heading2"/>
      </w:pPr>
      <w:r w:rsidRPr="001E32B8">
        <w:rPr>
          <w:rFonts w:cs="Times New Roman"/>
          <w:rtl/>
        </w:rPr>
        <w:t>الوضع الحالي</w:t>
      </w:r>
    </w:p>
    <w:p w14:paraId="4D89A73C" w14:textId="77777777" w:rsidR="002A182A" w:rsidRPr="001E32B8" w:rsidRDefault="002A182A" w:rsidP="00E838B6">
      <w:pPr>
        <w:pStyle w:val="BodyText"/>
        <w:rPr>
          <w:rFonts w:ascii="Arial" w:hAnsi="Arial" w:cs="Arial"/>
        </w:rPr>
      </w:pPr>
      <w:r w:rsidRPr="001E32B8">
        <w:rPr>
          <w:rFonts w:ascii="Arial" w:hAnsi="Arial" w:cs="Arial"/>
        </w:rPr>
        <w:t>في وقت إعداد هذا الموجز:</w:t>
      </w:r>
    </w:p>
    <w:p w14:paraId="28B11235" w14:textId="69FA9C7E" w:rsidR="00D662AE" w:rsidRPr="001E32B8" w:rsidRDefault="00D662AE" w:rsidP="002A182A">
      <w:pPr>
        <w:pStyle w:val="BodyText"/>
        <w:numPr>
          <w:ilvl w:val="0"/>
          <w:numId w:val="19"/>
        </w:numPr>
        <w:rPr>
          <w:rFonts w:ascii="Arial" w:hAnsi="Arial" w:cs="Arial"/>
        </w:rPr>
      </w:pPr>
      <w:r w:rsidRPr="001E32B8">
        <w:rPr>
          <w:rFonts w:ascii="Arial" w:hAnsi="Arial" w:cs="Arial"/>
        </w:rPr>
        <w:t xml:space="preserve">لم تُعقد أي اجتماعات هاتفية عامة لمجموعة العمل المجتمعية منذ اجتماع </w:t>
      </w:r>
      <w:r w:rsidRPr="001E32B8">
        <w:rPr>
          <w:rFonts w:ascii="Arial" w:hAnsi="Arial" w:cs="Arial"/>
          <w:rtl w:val="0"/>
        </w:rPr>
        <w:t>ICANN 61</w:t>
      </w:r>
      <w:r w:rsidRPr="001E32B8">
        <w:rPr>
          <w:rFonts w:ascii="Arial" w:hAnsi="Arial" w:cs="Arial"/>
        </w:rPr>
        <w:t>.</w:t>
      </w:r>
    </w:p>
    <w:p w14:paraId="1502D2F7" w14:textId="39A7AB77" w:rsidR="00207ED8" w:rsidRPr="001E32B8" w:rsidRDefault="002A182A" w:rsidP="002A182A">
      <w:pPr>
        <w:pStyle w:val="BodyText"/>
        <w:numPr>
          <w:ilvl w:val="0"/>
          <w:numId w:val="19"/>
        </w:numPr>
        <w:rPr>
          <w:rFonts w:ascii="Arial" w:hAnsi="Arial" w:cs="Arial"/>
        </w:rPr>
      </w:pPr>
      <w:r w:rsidRPr="001E32B8">
        <w:rPr>
          <w:rFonts w:ascii="Arial" w:hAnsi="Arial" w:cs="Arial"/>
        </w:rPr>
        <w:t xml:space="preserve">كان الرؤساء المشاركين في مجموعة العمل المجتمعية لا يزالون بصدد مراجعة مخاوف مجلس إدارة </w:t>
      </w:r>
      <w:r w:rsidRPr="001E32B8">
        <w:rPr>
          <w:rFonts w:ascii="Arial" w:hAnsi="Arial" w:cs="Arial"/>
          <w:rtl w:val="0"/>
        </w:rPr>
        <w:t>ICANN</w:t>
      </w:r>
      <w:r w:rsidRPr="001E32B8">
        <w:rPr>
          <w:rFonts w:ascii="Arial" w:hAnsi="Arial" w:cs="Arial"/>
        </w:rPr>
        <w:t xml:space="preserve"> بشأن بعض مسودات التوصيات.</w:t>
      </w:r>
    </w:p>
    <w:p w14:paraId="1E440D17" w14:textId="46B9767A" w:rsidR="002A182A" w:rsidRPr="001E32B8" w:rsidRDefault="002A182A" w:rsidP="002A182A">
      <w:pPr>
        <w:pStyle w:val="BodyText"/>
        <w:numPr>
          <w:ilvl w:val="0"/>
          <w:numId w:val="19"/>
        </w:numPr>
        <w:rPr>
          <w:rFonts w:ascii="Arial" w:hAnsi="Arial" w:cs="Arial"/>
        </w:rPr>
      </w:pPr>
      <w:r w:rsidRPr="001E32B8">
        <w:rPr>
          <w:rFonts w:ascii="Arial" w:hAnsi="Arial" w:cs="Arial"/>
        </w:rPr>
        <w:t>من المقرر تقديم ترتيبات للتقرير والتوصيات إلى المنظمات المؤسِّسة لأن دراسة المسألة لم تنتهي بعد.</w:t>
      </w:r>
    </w:p>
    <w:p w14:paraId="3B466CDB" w14:textId="1EF1531D" w:rsidR="00D10DB6" w:rsidRPr="001E32B8" w:rsidRDefault="00D10DB6" w:rsidP="000F5927">
      <w:pPr>
        <w:widowControl w:val="0"/>
        <w:autoSpaceDE w:val="0"/>
        <w:autoSpaceDN w:val="0"/>
        <w:adjustRightInd w:val="0"/>
        <w:spacing w:after="200" w:line="276" w:lineRule="auto"/>
        <w:ind w:right="545"/>
        <w:jc w:val="both"/>
        <w:rPr>
          <w:rFonts w:ascii="Arial" w:eastAsia="Calibri" w:hAnsi="Arial" w:cs="Arial"/>
          <w:sz w:val="20"/>
          <w:szCs w:val="20"/>
        </w:rPr>
      </w:pPr>
    </w:p>
    <w:p w14:paraId="03097BF6" w14:textId="5FBAE542" w:rsidR="00D10DB6" w:rsidRPr="001E32B8" w:rsidRDefault="00D10DB6" w:rsidP="00704FE4">
      <w:pPr>
        <w:pStyle w:val="Heading2"/>
      </w:pPr>
      <w:r w:rsidRPr="001E32B8">
        <w:rPr>
          <w:rFonts w:cs="Times New Roman"/>
          <w:rtl/>
        </w:rPr>
        <w:t>معلومات إضافية</w:t>
      </w:r>
    </w:p>
    <w:p w14:paraId="7C0ED2D3" w14:textId="2535D3AD" w:rsidR="00D10DB6" w:rsidRPr="001E32B8" w:rsidRDefault="00F223FA" w:rsidP="00D10DB6">
      <w:pPr>
        <w:pStyle w:val="BodyText"/>
        <w:rPr>
          <w:rStyle w:val="Hyperlink"/>
          <w:rFonts w:ascii="Arial" w:hAnsi="Arial" w:cs="Arial"/>
        </w:rPr>
      </w:pPr>
      <w:hyperlink r:id="rId10" w:history="1">
        <w:r w:rsidR="00D10DB6" w:rsidRPr="001E32B8">
          <w:rPr>
            <w:rStyle w:val="Hyperlink"/>
            <w:rFonts w:ascii="Arial" w:hAnsi="Arial" w:cs="Arial"/>
          </w:rPr>
          <w:t>مسار العمل 2 الخاص بمجموعة العمل المجتمعية المعنية بتعزيز المساءلة</w:t>
        </w:r>
      </w:hyperlink>
    </w:p>
    <w:p w14:paraId="1FF9F184" w14:textId="3F2A66EA" w:rsidR="00D10DB6" w:rsidRPr="001E32B8" w:rsidRDefault="00F223FA" w:rsidP="00D10DB6">
      <w:pPr>
        <w:pStyle w:val="BodyText"/>
        <w:rPr>
          <w:rStyle w:val="Hyperlink"/>
          <w:rFonts w:ascii="Arial" w:hAnsi="Arial" w:cs="Arial"/>
        </w:rPr>
      </w:pPr>
      <w:hyperlink r:id="rId11" w:history="1"/>
      <w:hyperlink r:id="rId12" w:history="1">
        <w:r w:rsidR="00D10DB6" w:rsidRPr="001E32B8">
          <w:rPr>
            <w:rStyle w:val="Hyperlink"/>
            <w:rFonts w:ascii="Arial" w:hAnsi="Arial" w:cs="Arial"/>
          </w:rPr>
          <w:t>المجموعة الفرعية لمجموعة العمل المجتمعية المعنية بتعزيز المساءلة بشأن الاختصاص القضائي</w:t>
        </w:r>
      </w:hyperlink>
    </w:p>
    <w:p w14:paraId="2A6D99FC" w14:textId="20913CA6" w:rsidR="00D10DB6" w:rsidRPr="001E32B8" w:rsidRDefault="00F223FA" w:rsidP="00D10DB6">
      <w:pPr>
        <w:widowControl w:val="0"/>
        <w:autoSpaceDE w:val="0"/>
        <w:autoSpaceDN w:val="0"/>
        <w:adjustRightInd w:val="0"/>
        <w:spacing w:after="200" w:line="276" w:lineRule="auto"/>
        <w:ind w:right="545"/>
        <w:jc w:val="both"/>
        <w:rPr>
          <w:rFonts w:ascii="Arial" w:eastAsia="Arabic Transparent" w:hAnsi="Arial" w:cs="Arial"/>
          <w:sz w:val="20"/>
          <w:szCs w:val="22"/>
        </w:rPr>
      </w:pPr>
      <w:hyperlink r:id="rId13" w:history="1"/>
      <w:hyperlink r:id="rId14">
        <w:r w:rsidR="00D10DB6" w:rsidRPr="001E32B8">
          <w:rPr>
            <w:rStyle w:val="Hyperlink"/>
            <w:rFonts w:ascii="Arial" w:hAnsi="Arial" w:cs="Arial"/>
            <w:sz w:val="20"/>
            <w:szCs w:val="20"/>
          </w:rPr>
          <w:t>المجموعة الفرعية لمجموعة العمل المجتمعية المعنية بالتنوع</w:t>
        </w:r>
      </w:hyperlink>
    </w:p>
    <w:p w14:paraId="18B97190" w14:textId="047FE81C" w:rsidR="00C77E9F" w:rsidRPr="001E32B8" w:rsidRDefault="00F223FA" w:rsidP="00D10DB6">
      <w:pPr>
        <w:widowControl w:val="0"/>
        <w:autoSpaceDE w:val="0"/>
        <w:autoSpaceDN w:val="0"/>
        <w:adjustRightInd w:val="0"/>
        <w:spacing w:after="200" w:line="276" w:lineRule="auto"/>
        <w:ind w:right="545"/>
        <w:jc w:val="both"/>
        <w:rPr>
          <w:rFonts w:ascii="Arial" w:eastAsia="Arabic Transparent" w:hAnsi="Arial" w:cs="Arial"/>
          <w:sz w:val="20"/>
          <w:szCs w:val="22"/>
        </w:rPr>
      </w:pPr>
      <w:hyperlink r:id="rId15">
        <w:r w:rsidR="00B124BF" w:rsidRPr="001E32B8">
          <w:rPr>
            <w:rStyle w:val="Hyperlink"/>
            <w:rFonts w:ascii="Arial" w:hAnsi="Arial" w:cs="Arial"/>
            <w:sz w:val="20"/>
            <w:szCs w:val="20"/>
          </w:rPr>
          <w:t>المجموعة الفرعية لمجموعة العمل المجتمعية المعنية بحقوق الإنسان</w:t>
        </w:r>
      </w:hyperlink>
    </w:p>
    <w:p w14:paraId="0BFFDDDE" w14:textId="7A345739" w:rsidR="00C77E9F" w:rsidRPr="001E32B8" w:rsidRDefault="00F223FA" w:rsidP="00D10DB6">
      <w:pPr>
        <w:widowControl w:val="0"/>
        <w:autoSpaceDE w:val="0"/>
        <w:autoSpaceDN w:val="0"/>
        <w:adjustRightInd w:val="0"/>
        <w:spacing w:after="200" w:line="276" w:lineRule="auto"/>
        <w:ind w:right="545"/>
        <w:jc w:val="both"/>
        <w:rPr>
          <w:rFonts w:ascii="Arial" w:eastAsia="Arabic Transparent" w:hAnsi="Arial" w:cs="Arial"/>
          <w:sz w:val="20"/>
          <w:szCs w:val="22"/>
        </w:rPr>
      </w:pPr>
      <w:hyperlink r:id="rId16">
        <w:r w:rsidR="00B124BF" w:rsidRPr="001E32B8">
          <w:rPr>
            <w:rStyle w:val="Hyperlink"/>
            <w:rFonts w:ascii="Arial" w:hAnsi="Arial" w:cs="Arial"/>
            <w:sz w:val="20"/>
            <w:szCs w:val="20"/>
          </w:rPr>
          <w:t>المجموعة الفرعية لمجموعة العمل المجتمعية المعنية بمساءلة المنظمات الداعمة/اللجان الاستشارية</w:t>
        </w:r>
      </w:hyperlink>
    </w:p>
    <w:p w14:paraId="5D147C92" w14:textId="77777777" w:rsidR="00D10DB6" w:rsidRPr="001E32B8" w:rsidRDefault="00D10DB6" w:rsidP="00D10DB6">
      <w:pPr>
        <w:widowControl w:val="0"/>
        <w:autoSpaceDE w:val="0"/>
        <w:autoSpaceDN w:val="0"/>
        <w:adjustRightInd w:val="0"/>
        <w:spacing w:after="200" w:line="276" w:lineRule="auto"/>
        <w:ind w:right="545"/>
        <w:jc w:val="both"/>
        <w:rPr>
          <w:rFonts w:ascii="Arial" w:eastAsia="Calibri" w:hAnsi="Arial" w:cs="Arial"/>
          <w:sz w:val="20"/>
          <w:szCs w:val="22"/>
        </w:rPr>
      </w:pPr>
    </w:p>
    <w:p w14:paraId="75FBDFE7" w14:textId="77777777" w:rsidR="00D10DB6" w:rsidRPr="001E32B8" w:rsidRDefault="00D10DB6" w:rsidP="00D10DB6">
      <w:pPr>
        <w:widowControl w:val="0"/>
        <w:autoSpaceDE w:val="0"/>
        <w:autoSpaceDN w:val="0"/>
        <w:adjustRightInd w:val="0"/>
        <w:spacing w:after="200" w:line="276" w:lineRule="auto"/>
        <w:ind w:right="545"/>
        <w:jc w:val="both"/>
        <w:rPr>
          <w:rFonts w:ascii="Arial" w:eastAsia="Calibri" w:hAnsi="Arial" w:cs="Arial"/>
          <w:sz w:val="20"/>
          <w:szCs w:val="22"/>
        </w:rPr>
      </w:pPr>
    </w:p>
    <w:p w14:paraId="5AC98C37" w14:textId="77777777" w:rsidR="00D10DB6" w:rsidRPr="001E32B8" w:rsidRDefault="00D10DB6" w:rsidP="00D10DB6">
      <w:pPr>
        <w:widowControl w:val="0"/>
        <w:autoSpaceDE w:val="0"/>
        <w:autoSpaceDN w:val="0"/>
        <w:adjustRightInd w:val="0"/>
        <w:spacing w:after="200" w:line="276" w:lineRule="auto"/>
        <w:ind w:right="545"/>
        <w:jc w:val="both"/>
        <w:rPr>
          <w:rFonts w:ascii="Arial" w:eastAsia="Calibri" w:hAnsi="Arial" w:cs="Arial"/>
          <w:sz w:val="20"/>
          <w:szCs w:val="22"/>
        </w:rPr>
      </w:pPr>
    </w:p>
    <w:p w14:paraId="0114F805" w14:textId="77777777" w:rsidR="00D10DB6" w:rsidRPr="001E32B8" w:rsidRDefault="00D10DB6" w:rsidP="00D10DB6">
      <w:pPr>
        <w:widowControl w:val="0"/>
        <w:autoSpaceDE w:val="0"/>
        <w:autoSpaceDN w:val="0"/>
        <w:adjustRightInd w:val="0"/>
        <w:spacing w:after="200" w:line="276" w:lineRule="auto"/>
        <w:ind w:right="545"/>
        <w:jc w:val="both"/>
        <w:rPr>
          <w:rFonts w:ascii="Arial" w:eastAsia="Calibri" w:hAnsi="Arial" w:cs="Arial"/>
          <w:sz w:val="20"/>
          <w:szCs w:val="22"/>
        </w:rPr>
      </w:pPr>
    </w:p>
    <w:p w14:paraId="1C7B89B9" w14:textId="77777777" w:rsidR="00D10DB6" w:rsidRPr="001E32B8" w:rsidRDefault="00D10DB6" w:rsidP="00704FE4">
      <w:pPr>
        <w:pStyle w:val="Heading2"/>
      </w:pPr>
      <w:bookmarkStart w:id="1" w:name="_Hlk484433727"/>
      <w:r w:rsidRPr="001E32B8">
        <w:rPr>
          <w:rFonts w:cs="Times New Roman"/>
          <w:rtl/>
        </w:rPr>
        <w:t>إدارة الوثائق</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D10DB6" w:rsidRPr="001E32B8" w14:paraId="78B133EA" w14:textId="77777777" w:rsidTr="00A30382">
        <w:tc>
          <w:tcPr>
            <w:tcW w:w="3261" w:type="dxa"/>
            <w:vAlign w:val="center"/>
          </w:tcPr>
          <w:p w14:paraId="4A5F30A2" w14:textId="77777777" w:rsidR="00D10DB6" w:rsidRPr="001E32B8" w:rsidRDefault="00D10DB6" w:rsidP="00A30382">
            <w:pPr>
              <w:ind w:right="-132"/>
              <w:rPr>
                <w:rFonts w:ascii="Arial" w:eastAsiaTheme="minorEastAsia" w:hAnsi="Arial" w:cs="Arial"/>
                <w:b/>
                <w:sz w:val="20"/>
                <w:szCs w:val="20"/>
              </w:rPr>
            </w:pPr>
            <w:r w:rsidRPr="001E32B8">
              <w:rPr>
                <w:rFonts w:ascii="Arial" w:eastAsiaTheme="minorEastAsia" w:hAnsi="Arial" w:cs="Arial"/>
                <w:b/>
                <w:bCs/>
                <w:sz w:val="20"/>
                <w:szCs w:val="20"/>
              </w:rPr>
              <w:t>العنوان</w:t>
            </w:r>
          </w:p>
        </w:tc>
        <w:tc>
          <w:tcPr>
            <w:tcW w:w="5811" w:type="dxa"/>
            <w:vAlign w:val="center"/>
          </w:tcPr>
          <w:p w14:paraId="40D9A58F" w14:textId="274AF380" w:rsidR="00D10DB6" w:rsidRPr="001E32B8" w:rsidRDefault="00C77E9F" w:rsidP="00D10DB6">
            <w:pPr>
              <w:ind w:right="545"/>
              <w:rPr>
                <w:rFonts w:ascii="Arial" w:eastAsiaTheme="minorEastAsia" w:hAnsi="Arial" w:cs="Arial"/>
                <w:sz w:val="20"/>
                <w:szCs w:val="20"/>
              </w:rPr>
            </w:pPr>
            <w:r w:rsidRPr="001E32B8">
              <w:rPr>
                <w:rFonts w:ascii="Arial" w:eastAsiaTheme="minorEastAsia" w:hAnsi="Arial" w:cs="Arial"/>
                <w:sz w:val="20"/>
                <w:szCs w:val="20"/>
              </w:rPr>
              <w:t>تحديث مسار العمل 2 الخاص بمجموعة العمل المجتمعية المعنية بتعزيز المساءلة</w:t>
            </w:r>
          </w:p>
        </w:tc>
      </w:tr>
      <w:tr w:rsidR="00D10DB6" w:rsidRPr="001E32B8" w14:paraId="3293C14D" w14:textId="77777777" w:rsidTr="00A30382">
        <w:tc>
          <w:tcPr>
            <w:tcW w:w="3261" w:type="dxa"/>
            <w:vAlign w:val="center"/>
          </w:tcPr>
          <w:p w14:paraId="248CAC85" w14:textId="77777777" w:rsidR="00D10DB6" w:rsidRPr="001E32B8" w:rsidRDefault="00D10DB6" w:rsidP="00A30382">
            <w:pPr>
              <w:ind w:right="-132"/>
              <w:rPr>
                <w:rFonts w:ascii="Arial" w:eastAsiaTheme="minorEastAsia" w:hAnsi="Arial" w:cs="Arial"/>
                <w:b/>
                <w:sz w:val="20"/>
                <w:szCs w:val="20"/>
              </w:rPr>
            </w:pPr>
            <w:r w:rsidRPr="001E32B8">
              <w:rPr>
                <w:rFonts w:ascii="Arial" w:eastAsiaTheme="minorEastAsia" w:hAnsi="Arial" w:cs="Arial"/>
                <w:b/>
                <w:bCs/>
                <w:sz w:val="20"/>
                <w:szCs w:val="20"/>
              </w:rPr>
              <w:t>التوزيع</w:t>
            </w:r>
          </w:p>
        </w:tc>
        <w:tc>
          <w:tcPr>
            <w:tcW w:w="5811" w:type="dxa"/>
            <w:vAlign w:val="center"/>
          </w:tcPr>
          <w:p w14:paraId="43C3334C" w14:textId="77777777" w:rsidR="00D10DB6" w:rsidRPr="001E32B8" w:rsidRDefault="00D10DB6" w:rsidP="00A30382">
            <w:pPr>
              <w:ind w:right="545"/>
              <w:rPr>
                <w:rFonts w:ascii="Arial" w:eastAsiaTheme="minorEastAsia" w:hAnsi="Arial" w:cs="Arial"/>
                <w:sz w:val="20"/>
                <w:szCs w:val="20"/>
              </w:rPr>
            </w:pPr>
            <w:r w:rsidRPr="001E32B8">
              <w:rPr>
                <w:rFonts w:ascii="Arial" w:eastAsiaTheme="minorEastAsia" w:hAnsi="Arial" w:cs="Arial"/>
                <w:sz w:val="20"/>
                <w:szCs w:val="20"/>
              </w:rPr>
              <w:t>أعضاء اللجنة الاستشارية الحكومية</w:t>
            </w:r>
          </w:p>
        </w:tc>
      </w:tr>
      <w:tr w:rsidR="00D10DB6" w:rsidRPr="001E32B8" w14:paraId="08CDC155" w14:textId="77777777" w:rsidTr="00A30382">
        <w:tc>
          <w:tcPr>
            <w:tcW w:w="3261" w:type="dxa"/>
            <w:vAlign w:val="center"/>
          </w:tcPr>
          <w:p w14:paraId="696B86E1" w14:textId="77777777" w:rsidR="00D10DB6" w:rsidRPr="001E32B8" w:rsidRDefault="00D10DB6" w:rsidP="00A30382">
            <w:pPr>
              <w:ind w:right="-132"/>
              <w:rPr>
                <w:rFonts w:ascii="Arial" w:eastAsiaTheme="minorEastAsia" w:hAnsi="Arial" w:cs="Arial"/>
                <w:b/>
                <w:sz w:val="20"/>
                <w:szCs w:val="20"/>
              </w:rPr>
            </w:pPr>
            <w:r w:rsidRPr="001E32B8">
              <w:rPr>
                <w:rFonts w:ascii="Arial" w:eastAsiaTheme="minorEastAsia" w:hAnsi="Arial" w:cs="Arial"/>
                <w:b/>
                <w:bCs/>
                <w:sz w:val="20"/>
                <w:szCs w:val="20"/>
              </w:rPr>
              <w:t>تاريخ التوزيع</w:t>
            </w:r>
          </w:p>
        </w:tc>
        <w:tc>
          <w:tcPr>
            <w:tcW w:w="5811" w:type="dxa"/>
            <w:vAlign w:val="center"/>
          </w:tcPr>
          <w:p w14:paraId="699E24BA" w14:textId="77777777" w:rsidR="00D10DB6" w:rsidRPr="001E32B8" w:rsidRDefault="00D662AE" w:rsidP="00A30382">
            <w:pPr>
              <w:ind w:right="545"/>
              <w:rPr>
                <w:rFonts w:ascii="Arial" w:eastAsiaTheme="minorEastAsia" w:hAnsi="Arial" w:cs="Arial"/>
                <w:sz w:val="20"/>
                <w:szCs w:val="20"/>
              </w:rPr>
            </w:pPr>
            <w:r w:rsidRPr="001E32B8">
              <w:rPr>
                <w:rFonts w:ascii="Arial" w:eastAsiaTheme="minorEastAsia" w:hAnsi="Arial" w:cs="Arial"/>
                <w:sz w:val="20"/>
                <w:szCs w:val="20"/>
              </w:rPr>
              <w:t>الإصدار 1.0: 7 يونيو 2018</w:t>
            </w:r>
          </w:p>
          <w:p w14:paraId="5D2252C2" w14:textId="000B30BE" w:rsidR="00D662AE" w:rsidRPr="001E32B8" w:rsidRDefault="00D662AE" w:rsidP="00A30382">
            <w:pPr>
              <w:ind w:right="545"/>
              <w:rPr>
                <w:rFonts w:ascii="Arial" w:eastAsiaTheme="minorEastAsia" w:hAnsi="Arial" w:cs="Arial"/>
                <w:sz w:val="20"/>
                <w:szCs w:val="20"/>
              </w:rPr>
            </w:pPr>
            <w:r w:rsidRPr="001E32B8">
              <w:rPr>
                <w:rFonts w:ascii="Arial" w:eastAsiaTheme="minorEastAsia" w:hAnsi="Arial" w:cs="Arial"/>
                <w:sz w:val="20"/>
                <w:szCs w:val="20"/>
              </w:rPr>
              <w:t>الإصدار 1.1: 14 يونيو 2018</w:t>
            </w:r>
          </w:p>
        </w:tc>
      </w:tr>
      <w:bookmarkEnd w:id="1"/>
    </w:tbl>
    <w:p w14:paraId="5CB2C162" w14:textId="77777777" w:rsidR="00D10DB6" w:rsidRPr="001E32B8" w:rsidRDefault="00D10DB6" w:rsidP="00B124BF">
      <w:pPr>
        <w:pStyle w:val="BodyText"/>
        <w:ind w:right="545"/>
        <w:rPr>
          <w:rFonts w:ascii="Arial" w:hAnsi="Arial" w:cs="Arial"/>
        </w:rPr>
      </w:pPr>
    </w:p>
    <w:sectPr w:rsidR="00D10DB6" w:rsidRPr="001E32B8" w:rsidSect="007A174E">
      <w:headerReference w:type="default" r:id="rId17"/>
      <w:footerReference w:type="default" r:id="rId18"/>
      <w:headerReference w:type="first" r:id="rId19"/>
      <w:footerReference w:type="first" r:id="rId20"/>
      <w:pgSz w:w="11907" w:h="16839" w:code="9"/>
      <w:pgMar w:top="1387" w:right="850" w:bottom="1440" w:left="1440" w:header="284"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77E23" w14:textId="77777777" w:rsidR="009432E8" w:rsidRDefault="009432E8" w:rsidP="00A24449">
      <w:r>
        <w:separator/>
      </w:r>
    </w:p>
  </w:endnote>
  <w:endnote w:type="continuationSeparator" w:id="0">
    <w:p w14:paraId="324D866E" w14:textId="77777777" w:rsidR="009432E8" w:rsidRDefault="009432E8" w:rsidP="00A2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6EB9D" w14:textId="77777777" w:rsidR="00265E52" w:rsidRDefault="00265E52" w:rsidP="002276FD">
    <w:pPr>
      <w:pStyle w:val="Footer"/>
      <w:ind w:left="-567" w:right="261"/>
    </w:pPr>
  </w:p>
  <w:p w14:paraId="22C9A9EC" w14:textId="1F4EEAAB" w:rsidR="00265E52" w:rsidRPr="003E7F79" w:rsidRDefault="003E7F79" w:rsidP="00AA6D42">
    <w:pPr>
      <w:pBdr>
        <w:top w:val="single" w:sz="18" w:space="1" w:color="1F497D"/>
      </w:pBdr>
      <w:spacing w:before="240"/>
      <w:ind w:right="545"/>
      <w:rPr>
        <w:rFonts w:ascii="Arabic Transparent" w:hAnsi="Arabic Transparent"/>
        <w:color w:val="00408E"/>
        <w:sz w:val="28"/>
        <w:szCs w:val="28"/>
      </w:rPr>
    </w:pPr>
    <w:r>
      <w:rPr>
        <w:sz w:val="28"/>
        <w:szCs w:val="28"/>
      </w:rPr>
      <w:tab/>
    </w:r>
    <w:r>
      <w:rPr>
        <w:sz w:val="28"/>
        <w:szCs w:val="28"/>
      </w:rPr>
      <w:tab/>
    </w:r>
    <w:r w:rsidR="00265E52" w:rsidRPr="003E7F79">
      <w:rPr>
        <w:sz w:val="28"/>
        <w:szCs w:val="28"/>
      </w:rPr>
      <w:tab/>
    </w:r>
    <w:r w:rsidR="00265E52" w:rsidRPr="003E7F79">
      <w:rPr>
        <w:sz w:val="18"/>
        <w:szCs w:val="18"/>
      </w:rPr>
      <w:t xml:space="preserve">                                                                          </w:t>
    </w:r>
    <w:r w:rsidR="00265E52" w:rsidRPr="003E7F79">
      <w:rPr>
        <w:sz w:val="28"/>
        <w:szCs w:val="28"/>
      </w:rPr>
      <w:tab/>
    </w:r>
    <w:r w:rsidR="00265E52" w:rsidRPr="003E7F79">
      <w:rPr>
        <w:sz w:val="28"/>
        <w:szCs w:val="28"/>
      </w:rPr>
      <w:tab/>
    </w:r>
    <w:r w:rsidR="00265E52" w:rsidRPr="003E7F79">
      <w:rPr>
        <w:sz w:val="28"/>
        <w:szCs w:val="28"/>
      </w:rPr>
      <w:tab/>
    </w:r>
    <w:r w:rsidR="00265E52" w:rsidRPr="003E7F79">
      <w:rPr>
        <w:rFonts w:ascii="Arabic Transparent" w:hAnsi="Arabic Transparent"/>
        <w:color w:val="00408E"/>
        <w:sz w:val="18"/>
        <w:szCs w:val="18"/>
      </w:rPr>
      <w:t xml:space="preserve">صفحة </w:t>
    </w:r>
    <w:r w:rsidR="00265E52" w:rsidRPr="003E7F79">
      <w:rPr>
        <w:rFonts w:ascii="Century Gothic" w:hAnsi="Century Gothic"/>
        <w:color w:val="00408E"/>
        <w:sz w:val="18"/>
        <w:szCs w:val="18"/>
      </w:rPr>
      <w:fldChar w:fldCharType="begin"/>
    </w:r>
    <w:r w:rsidR="00265E52" w:rsidRPr="003E7F79">
      <w:rPr>
        <w:rFonts w:ascii="Century Gothic" w:hAnsi="Century Gothic"/>
        <w:color w:val="00408E"/>
        <w:sz w:val="18"/>
        <w:szCs w:val="18"/>
      </w:rPr>
      <w:instrText xml:space="preserve"> PAGE </w:instrText>
    </w:r>
    <w:r w:rsidR="00265E52" w:rsidRPr="003E7F79">
      <w:rPr>
        <w:rFonts w:ascii="Century Gothic" w:hAnsi="Century Gothic"/>
        <w:color w:val="00408E"/>
        <w:sz w:val="18"/>
        <w:szCs w:val="18"/>
      </w:rPr>
      <w:fldChar w:fldCharType="separate"/>
    </w:r>
    <w:r w:rsidR="00F223FA">
      <w:rPr>
        <w:rFonts w:ascii="Century Gothic" w:hAnsi="Century Gothic"/>
        <w:noProof/>
        <w:color w:val="00408E"/>
        <w:sz w:val="18"/>
        <w:szCs w:val="18"/>
      </w:rPr>
      <w:t>1</w:t>
    </w:r>
    <w:r w:rsidR="00265E52" w:rsidRPr="003E7F79">
      <w:rPr>
        <w:rFonts w:ascii="Century Gothic" w:hAnsi="Century Gothic"/>
        <w:color w:val="00408E"/>
        <w:sz w:val="18"/>
        <w:szCs w:val="18"/>
      </w:rPr>
      <w:fldChar w:fldCharType="end"/>
    </w:r>
    <w:r w:rsidR="00265E52" w:rsidRPr="003E7F79">
      <w:rPr>
        <w:rFonts w:ascii="Arabic Transparent" w:hAnsi="Arabic Transparent"/>
        <w:color w:val="00408E"/>
        <w:sz w:val="18"/>
        <w:szCs w:val="18"/>
      </w:rPr>
      <w:t xml:space="preserve"> من </w:t>
    </w:r>
    <w:r w:rsidR="00265E52" w:rsidRPr="003E7F79">
      <w:rPr>
        <w:rFonts w:ascii="Century Gothic" w:hAnsi="Century Gothic"/>
        <w:color w:val="00408E"/>
        <w:sz w:val="18"/>
        <w:szCs w:val="18"/>
      </w:rPr>
      <w:fldChar w:fldCharType="begin"/>
    </w:r>
    <w:r w:rsidR="00265E52" w:rsidRPr="003E7F79">
      <w:rPr>
        <w:rFonts w:ascii="Century Gothic" w:hAnsi="Century Gothic"/>
        <w:color w:val="00408E"/>
        <w:sz w:val="18"/>
        <w:szCs w:val="18"/>
      </w:rPr>
      <w:instrText xml:space="preserve"> NUMPAGES  </w:instrText>
    </w:r>
    <w:r w:rsidR="00265E52" w:rsidRPr="003E7F79">
      <w:rPr>
        <w:rFonts w:ascii="Century Gothic" w:hAnsi="Century Gothic"/>
        <w:color w:val="00408E"/>
        <w:sz w:val="18"/>
        <w:szCs w:val="18"/>
      </w:rPr>
      <w:fldChar w:fldCharType="separate"/>
    </w:r>
    <w:r w:rsidR="00F223FA">
      <w:rPr>
        <w:rFonts w:ascii="Century Gothic" w:hAnsi="Century Gothic"/>
        <w:noProof/>
        <w:color w:val="00408E"/>
        <w:sz w:val="18"/>
        <w:szCs w:val="18"/>
      </w:rPr>
      <w:t>4</w:t>
    </w:r>
    <w:r w:rsidR="00265E52" w:rsidRPr="003E7F79">
      <w:rPr>
        <w:rFonts w:ascii="Century Gothic" w:hAnsi="Century Gothic"/>
        <w:color w:val="00408E"/>
        <w:sz w:val="18"/>
        <w:szCs w:val="18"/>
      </w:rPr>
      <w:fldChar w:fldCharType="end"/>
    </w:r>
  </w:p>
  <w:p w14:paraId="2D888BF1" w14:textId="77777777" w:rsidR="00265E52" w:rsidRPr="000C0FD7" w:rsidRDefault="00265E52" w:rsidP="003D7A8D">
    <w:pPr>
      <w:pStyle w:val="Footer"/>
      <w:tabs>
        <w:tab w:val="clear" w:pos="9360"/>
        <w:tab w:val="right" w:pos="8931"/>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083CC" w14:textId="77777777" w:rsidR="00265E52" w:rsidRPr="00C2562C" w:rsidRDefault="00265E52" w:rsidP="00740F60">
    <w:pPr>
      <w:pBdr>
        <w:top w:val="single" w:sz="18" w:space="1" w:color="1F497D"/>
      </w:pBdr>
      <w:spacing w:before="240"/>
      <w:ind w:right="544"/>
      <w:rPr>
        <w:color w:val="00408E"/>
        <w:sz w:val="2"/>
        <w:szCs w:val="2"/>
      </w:rPr>
    </w:pPr>
  </w:p>
  <w:p w14:paraId="4E0CE35E" w14:textId="77777777" w:rsidR="00265E52" w:rsidRPr="00B026C8" w:rsidRDefault="00265E52" w:rsidP="00740F60">
    <w:pPr>
      <w:pStyle w:val="NoSpacing"/>
      <w:ind w:right="544"/>
      <w:jc w:val="right"/>
      <w:rPr>
        <w:sz w:val="16"/>
        <w:szCs w:val="16"/>
      </w:rPr>
    </w:pPr>
    <w:r>
      <w:rPr>
        <w:sz w:val="16"/>
        <w:szCs w:val="16"/>
      </w:rPr>
      <w:t xml:space="preserve">203 </w:t>
    </w:r>
    <w:proofErr w:type="spellStart"/>
    <w:r>
      <w:rPr>
        <w:sz w:val="16"/>
        <w:szCs w:val="16"/>
      </w:rPr>
      <w:t>دروموند</w:t>
    </w:r>
    <w:proofErr w:type="spellEnd"/>
    <w:r>
      <w:rPr>
        <w:sz w:val="16"/>
        <w:szCs w:val="16"/>
      </w:rPr>
      <w:t xml:space="preserve"> ستريت، كارلتون، فيكتوريا 3053 </w:t>
    </w:r>
  </w:p>
  <w:p w14:paraId="5F7B5C75" w14:textId="77777777" w:rsidR="00265E52" w:rsidRPr="00B026C8" w:rsidRDefault="00265E52" w:rsidP="00740F60">
    <w:pPr>
      <w:pStyle w:val="NoSpacing"/>
      <w:ind w:right="544"/>
      <w:jc w:val="right"/>
      <w:rPr>
        <w:sz w:val="16"/>
        <w:szCs w:val="16"/>
      </w:rPr>
    </w:pPr>
    <w:r>
      <w:rPr>
        <w:sz w:val="16"/>
        <w:szCs w:val="16"/>
      </w:rPr>
      <w:t>7222 9650 03</w:t>
    </w:r>
  </w:p>
  <w:p w14:paraId="1A96EBCB" w14:textId="77777777" w:rsidR="00265E52" w:rsidRPr="00B026C8" w:rsidRDefault="00265E52" w:rsidP="00740F60">
    <w:pPr>
      <w:pStyle w:val="NoSpacing"/>
      <w:ind w:right="544"/>
      <w:jc w:val="right"/>
      <w:rPr>
        <w:sz w:val="16"/>
        <w:szCs w:val="16"/>
      </w:rPr>
    </w:pPr>
    <w:r>
      <w:rPr>
        <w:sz w:val="16"/>
        <w:rtl w:val="0"/>
      </w:rPr>
      <w:t>www.acig.com.au</w:t>
    </w:r>
  </w:p>
  <w:p w14:paraId="2AE084D1" w14:textId="77777777" w:rsidR="00265E52" w:rsidRDefault="00265E52" w:rsidP="003D7A8D">
    <w:pPr>
      <w:pStyle w:val="Footer"/>
      <w:jc w:val="center"/>
      <w:rPr>
        <w:color w:val="00408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B110C" w14:textId="77777777" w:rsidR="009432E8" w:rsidRDefault="009432E8" w:rsidP="00A24449">
      <w:r>
        <w:separator/>
      </w:r>
    </w:p>
  </w:footnote>
  <w:footnote w:type="continuationSeparator" w:id="0">
    <w:p w14:paraId="53DD9679" w14:textId="77777777" w:rsidR="009432E8" w:rsidRDefault="009432E8" w:rsidP="00A24449">
      <w:r>
        <w:continuationSeparator/>
      </w:r>
    </w:p>
  </w:footnote>
  <w:footnote w:id="1">
    <w:p w14:paraId="435DD598" w14:textId="6DED8930" w:rsidR="006B7BEC" w:rsidRPr="006B7BEC" w:rsidRDefault="006B7BEC">
      <w:pPr>
        <w:pStyle w:val="FootnoteText"/>
        <w:rPr>
          <w:rFonts w:ascii="Arabic Transparent" w:hAnsi="Arabic Transparent"/>
          <w:sz w:val="18"/>
          <w:szCs w:val="18"/>
        </w:rPr>
      </w:pPr>
      <w:r>
        <w:rPr>
          <w:rStyle w:val="FootnoteReference"/>
          <w:rFonts w:ascii="Arabic Transparent" w:hAnsi="Arabic Transparent"/>
          <w:sz w:val="18"/>
          <w:rtl w:val="0"/>
        </w:rPr>
        <w:footnoteRef/>
      </w:r>
      <w:r>
        <w:rPr>
          <w:rFonts w:ascii="Arabic Transparent" w:hAnsi="Arabic Transparent"/>
          <w:sz w:val="18"/>
          <w:szCs w:val="18"/>
        </w:rPr>
        <w:t xml:space="preserve"> فرنسا: </w:t>
      </w:r>
      <w:hyperlink r:id="rId1">
        <w:r>
          <w:rPr>
            <w:rStyle w:val="Hyperlink"/>
            <w:rFonts w:ascii="Arabic Transparent" w:hAnsi="Arabic Transparent"/>
            <w:sz w:val="18"/>
            <w:szCs w:val="18"/>
          </w:rPr>
          <w:t>المشاركة في التعليقات العامة حول التنوع</w:t>
        </w:r>
      </w:hyperlink>
    </w:p>
  </w:footnote>
  <w:footnote w:id="2">
    <w:p w14:paraId="0C000A08" w14:textId="3DE6B0F1" w:rsidR="00927979" w:rsidRPr="00E15156" w:rsidRDefault="00927979">
      <w:pPr>
        <w:pStyle w:val="FootnoteText"/>
        <w:rPr>
          <w:rFonts w:ascii="Arabic Transparent" w:hAnsi="Arabic Transparent"/>
          <w:sz w:val="18"/>
          <w:szCs w:val="18"/>
        </w:rPr>
      </w:pPr>
      <w:r>
        <w:rPr>
          <w:rStyle w:val="FootnoteReference"/>
          <w:rFonts w:ascii="Arabic Transparent" w:hAnsi="Arabic Transparent"/>
          <w:sz w:val="18"/>
          <w:rtl w:val="0"/>
        </w:rPr>
        <w:footnoteRef/>
      </w:r>
      <w:r>
        <w:rPr>
          <w:rFonts w:ascii="Arabic Transparent" w:hAnsi="Arabic Transparent"/>
          <w:sz w:val="18"/>
          <w:szCs w:val="18"/>
        </w:rPr>
        <w:t xml:space="preserve"> فرنسا: </w:t>
      </w:r>
      <w:hyperlink r:id="rId2">
        <w:r>
          <w:rPr>
            <w:rStyle w:val="Hyperlink"/>
            <w:rFonts w:ascii="Arabic Transparent" w:hAnsi="Arabic Transparent"/>
            <w:sz w:val="18"/>
            <w:szCs w:val="18"/>
          </w:rPr>
          <w:t>المشاركة في التعليقات العامة حول الاختصاص القضائي</w:t>
        </w:r>
      </w:hyperlink>
      <w:r>
        <w:rPr>
          <w:rFonts w:ascii="Arabic Transparent" w:hAnsi="Arabic Transparent"/>
          <w:sz w:val="18"/>
          <w:szCs w:val="18"/>
        </w:rPr>
        <w:t xml:space="preserve"> </w:t>
      </w:r>
    </w:p>
  </w:footnote>
  <w:footnote w:id="3">
    <w:p w14:paraId="407CF1D4" w14:textId="4E368156" w:rsidR="00E15156" w:rsidRDefault="00E15156">
      <w:pPr>
        <w:pStyle w:val="FootnoteText"/>
      </w:pPr>
      <w:r>
        <w:rPr>
          <w:rStyle w:val="FootnoteReference"/>
          <w:rFonts w:ascii="Arabic Transparent" w:hAnsi="Arabic Transparent"/>
          <w:sz w:val="18"/>
          <w:rtl w:val="0"/>
        </w:rPr>
        <w:footnoteRef/>
      </w:r>
      <w:r>
        <w:rPr>
          <w:rFonts w:ascii="Arabic Transparent" w:hAnsi="Arabic Transparent"/>
          <w:sz w:val="18"/>
          <w:szCs w:val="18"/>
        </w:rPr>
        <w:t xml:space="preserve"> البرازيل: نصائح ما قبل الاجتماع إلى أمانة السر وللأعضاء المعيّنين من جانب اللجنة الاستشارية الحكومية في مجموعة العمل المجتمعية</w:t>
      </w:r>
    </w:p>
  </w:footnote>
  <w:footnote w:id="4">
    <w:p w14:paraId="06F8B80B" w14:textId="695515AA" w:rsidR="007F0696" w:rsidRPr="007F0696" w:rsidRDefault="007F0696">
      <w:pPr>
        <w:pStyle w:val="FootnoteText"/>
        <w:rPr>
          <w:rFonts w:ascii="Arabic Transparent" w:hAnsi="Arabic Transparent"/>
          <w:sz w:val="18"/>
          <w:szCs w:val="18"/>
        </w:rPr>
      </w:pPr>
      <w:r>
        <w:rPr>
          <w:rStyle w:val="FootnoteReference"/>
          <w:rFonts w:ascii="Arabic Transparent" w:hAnsi="Arabic Transparent"/>
          <w:sz w:val="18"/>
          <w:rtl w:val="0"/>
        </w:rPr>
        <w:footnoteRef/>
      </w:r>
      <w:r>
        <w:rPr>
          <w:rFonts w:ascii="Arabic Transparent" w:hAnsi="Arabic Transparent"/>
          <w:sz w:val="18"/>
          <w:szCs w:val="18"/>
        </w:rPr>
        <w:t xml:space="preserve"> </w:t>
      </w:r>
      <w:hyperlink r:id="rId3">
        <w:r>
          <w:rPr>
            <w:rStyle w:val="Hyperlink"/>
            <w:rFonts w:ascii="Arabic Transparent" w:hAnsi="Arabic Transparent"/>
            <w:sz w:val="18"/>
            <w:szCs w:val="18"/>
          </w:rPr>
          <w:t>بيان اللجنة الاستشارية الحكومية الصادر في مراكش</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CC198" w14:textId="0BDA0D4B" w:rsidR="00265E52" w:rsidRDefault="003E7F79" w:rsidP="00B53525">
    <w:pPr>
      <w:pStyle w:val="Header"/>
      <w:tabs>
        <w:tab w:val="clear" w:pos="4680"/>
        <w:tab w:val="clear" w:pos="9360"/>
      </w:tabs>
      <w:ind w:right="-306"/>
    </w:pPr>
    <w:r>
      <w:rPr>
        <w:noProof/>
        <w:lang w:eastAsia="zh-CN" w:bidi="ar-SA"/>
      </w:rPr>
      <mc:AlternateContent>
        <mc:Choice Requires="wps">
          <w:drawing>
            <wp:anchor distT="0" distB="0" distL="114300" distR="114300" simplePos="0" relativeHeight="251664384" behindDoc="1" locked="0" layoutInCell="1" allowOverlap="1" wp14:anchorId="6662CC8F" wp14:editId="5A6F88B3">
              <wp:simplePos x="0" y="0"/>
              <wp:positionH relativeFrom="column">
                <wp:posOffset>3295650</wp:posOffset>
              </wp:positionH>
              <wp:positionV relativeFrom="paragraph">
                <wp:posOffset>238760</wp:posOffset>
              </wp:positionV>
              <wp:extent cx="2590800" cy="2978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7815"/>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a14="http://schemas.microsoft.com/office/drawing/2010/main" xmlns:w10="urn:schemas-microsoft-com:office:word" xmlns:v="urn:schemas-microsoft-com:vml" xmlns:o="urn:schemas-microsoft-com:office:office" xmlns:w="http://schemas.openxmlformats.org/wordprocessingml/2006/main" xmlns="" w="9525">
                            <a:solidFill>
                              <a:srgbClr val="000000"/>
                            </a:solidFill>
                            <a:miter lim="800000"/>
                            <a:headEnd/>
                            <a:tailEnd/>
                          </a14:hiddenLine>
                        </a:ext>
                      </a:extLst>
                    </wps:spPr>
                    <wps:txbx>
                      <w:txbxContent>
                        <w:p w14:paraId="60A23E30" w14:textId="77777777" w:rsidR="00265E52" w:rsidRPr="0091773C" w:rsidRDefault="00265E52" w:rsidP="003E7F79">
                          <w:pPr>
                            <w:ind w:left="-142"/>
                            <w:jc w:val="center"/>
                            <w:rPr>
                              <w:rFonts w:ascii="Arabic Transparent" w:hAnsi="Arabic Transparent"/>
                              <w:color w:val="C45911"/>
                              <w:sz w:val="32"/>
                              <w:szCs w:val="32"/>
                            </w:rPr>
                          </w:pPr>
                          <w:r>
                            <w:rPr>
                              <w:rFonts w:ascii="Arabic Transparent" w:hAnsi="Arabic Transparent"/>
                              <w:color w:val="C45911"/>
                              <w:sz w:val="32"/>
                              <w:szCs w:val="32"/>
                            </w:rPr>
                            <w:t>أمانة سر اللجنة الاستشارية الحكومية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2CC8F" id="_x0000_t202" coordsize="21600,21600" o:spt="202" path="m,l,21600r21600,l21600,xe">
              <v:stroke joinstyle="miter"/>
              <v:path gradientshapeok="t" o:connecttype="rect"/>
            </v:shapetype>
            <v:shape id="Text Box 3" o:spid="_x0000_s1026" type="#_x0000_t202" style="position:absolute;left:0;text-align:left;margin-left:259.5pt;margin-top:18.8pt;width:204pt;height:2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" stroked="f">
              <v:textbox>
                <w:txbxContent>
                  <w:p w14:paraId="60A23E30" w14:textId="77777777" w:rsidR="00265E52" w:rsidRPr="0091773C" w:rsidRDefault="00265E52" w:rsidP="003E7F79">
                    <w:pPr>
                      <w:ind w:left="-142"/>
                      <w:jc w:val="center"/>
                      <w:rPr>
                        <w:rFonts w:ascii="Arabic Transparent" w:hAnsi="Arabic Transparent"/>
                        <w:color w:val="C45911"/>
                        <w:sz w:val="32"/>
                        <w:szCs w:val="32"/>
                      </w:rPr>
                    </w:pPr>
                    <w:r>
                      <w:rPr>
                        <w:rFonts w:ascii="Arabic Transparent" w:hAnsi="Arabic Transparent"/>
                        <w:color w:val="C45911"/>
                        <w:sz w:val="32"/>
                        <w:szCs w:val="32"/>
                      </w:rPr>
                      <w:t>أمانة سر اللجنة الاستشارية الحكومية</w:t>
                    </w:r>
                  </w:p>
                </w:txbxContent>
              </v:textbox>
            </v:shape>
          </w:pict>
        </mc:Fallback>
      </mc:AlternateContent>
    </w:r>
    <w:r>
      <w:rPr>
        <w:noProof/>
        <w:lang w:eastAsia="zh-CN" w:bidi="ar-SA"/>
      </w:rPr>
      <mc:AlternateContent>
        <mc:Choice Requires="wps">
          <w:drawing>
            <wp:anchor distT="0" distB="0" distL="114300" distR="114300" simplePos="0" relativeHeight="251657216" behindDoc="1" locked="0" layoutInCell="1" allowOverlap="1" wp14:anchorId="261037EF" wp14:editId="6AF180F2">
              <wp:simplePos x="0" y="0"/>
              <wp:positionH relativeFrom="column">
                <wp:posOffset>4276090</wp:posOffset>
              </wp:positionH>
              <wp:positionV relativeFrom="paragraph">
                <wp:posOffset>222885</wp:posOffset>
              </wp:positionV>
              <wp:extent cx="1340485" cy="297815"/>
              <wp:effectExtent l="0" t="0" r="0"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297815"/>
                      </a:xfrm>
                      <a:prstGeom prst="rect">
                        <a:avLst/>
                      </a:prstGeom>
                      <a:solidFill>
                        <a:srgbClr val="FFFFFF"/>
                      </a:solidFill>
                      <a:ln>
                        <a:noFill/>
                      </a:ln>
                      <a:extLst/>
                    </wps:spPr>
                    <wps:txbx>
                      <w:txbxContent>
                        <w:p w14:paraId="5342CE0B" w14:textId="77777777" w:rsidR="00265E52" w:rsidRPr="002276FD" w:rsidRDefault="00265E52" w:rsidP="003E7F79">
                          <w:pPr>
                            <w:ind w:left="-142" w:right="-6804"/>
                            <w:jc w:val="center"/>
                            <w:rPr>
                              <w:rFonts w:ascii="Arabic Transparent" w:hAnsi="Arabic Transparent"/>
                              <w:color w:val="C45911" w:themeColor="accent2" w:themeShade="BF"/>
                              <w:sz w:val="32"/>
                              <w:szCs w:val="32"/>
                            </w:rPr>
                          </w:pPr>
                          <w:r>
                            <w:rPr>
                              <w:rFonts w:ascii="Arabic Transparent" w:hAnsi="Arabic Transparent"/>
                              <w:color w:val="C45911" w:themeColor="accent2" w:themeShade="BF"/>
                              <w:sz w:val="32"/>
                              <w:szCs w:val="32"/>
                            </w:rPr>
                            <w:t>أمانة سر اللجنة الاستشارية الحكومية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037EF" id="Text Box 4" o:spid="_x0000_s1027" type="#_x0000_t202" style="position:absolute;left:0;text-align:left;margin-left:336.7pt;margin-top:17.55pt;width:105.5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" stroked="f">
              <v:textbox>
                <w:txbxContent>
                  <w:p w14:paraId="5342CE0B" w14:textId="77777777" w:rsidR="00265E52" w:rsidRPr="002276FD" w:rsidRDefault="00265E52" w:rsidP="003E7F79">
                    <w:pPr>
                      <w:ind w:left="-142" w:right="-6804"/>
                      <w:jc w:val="center"/>
                      <w:rPr>
                        <w:rFonts w:ascii="Arabic Transparent" w:hAnsi="Arabic Transparent"/>
                        <w:color w:val="C45911" w:themeColor="accent2" w:themeShade="BF"/>
                        <w:sz w:val="32"/>
                        <w:szCs w:val="32"/>
                      </w:rPr>
                    </w:pPr>
                    <w:r>
                      <w:rPr>
                        <w:rFonts w:ascii="Arabic Transparent" w:hAnsi="Arabic Transparent"/>
                        <w:color w:val="C45911" w:themeColor="accent2" w:themeShade="BF"/>
                        <w:sz w:val="32"/>
                        <w:szCs w:val="32"/>
                      </w:rPr>
                      <w:t>أمانة سر اللجنة الاستشارية الحكومية</w:t>
                    </w:r>
                  </w:p>
                </w:txbxContent>
              </v:textbox>
            </v:shape>
          </w:pict>
        </mc:Fallback>
      </mc:AlternateContent>
    </w:r>
    <w:r w:rsidR="00265E52">
      <w:tab/>
    </w:r>
    <w:r w:rsidR="00265E52">
      <w:tab/>
    </w:r>
    <w:r w:rsidR="00265E52">
      <w:tab/>
    </w:r>
    <w:r w:rsidR="00265E52">
      <w:tab/>
    </w:r>
    <w:r w:rsidR="00265E52">
      <w:tab/>
    </w:r>
    <w:r w:rsidR="00265E52">
      <w:tab/>
    </w:r>
    <w:r w:rsidR="00265E52">
      <w:tab/>
      <w:t xml:space="preserve">                                           </w:t>
    </w:r>
    <w:r w:rsidR="00265E52">
      <w:rPr>
        <w:noProof/>
        <w:lang w:eastAsia="zh-CN" w:bidi="ar-SA"/>
      </w:rPr>
      <w:drawing>
        <wp:inline distT="0" distB="0" distL="0" distR="0" wp14:anchorId="2807CE83" wp14:editId="3F54EBD5">
          <wp:extent cx="457200" cy="293077"/>
          <wp:effectExtent l="0" t="0" r="0" b="12065"/>
          <wp:docPr id="6" name="Picture 152" descr="acig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cig logo transparent"/>
                  <pic:cNvPicPr>
                    <a:picLocks noChangeAspect="1" noChangeArrowheads="1"/>
                  </pic:cNvPicPr>
                </pic:nvPicPr>
                <pic:blipFill>
                  <a:blip r:embed="rId1"/>
                  <a:srcRect/>
                  <a:stretch>
                    <a:fillRect/>
                  </a:stretch>
                </pic:blipFill>
                <pic:spPr bwMode="auto">
                  <a:xfrm>
                    <a:off x="0" y="0"/>
                    <a:ext cx="457200" cy="293077"/>
                  </a:xfrm>
                  <a:prstGeom prst="rect">
                    <a:avLst/>
                  </a:prstGeom>
                  <a:noFill/>
                  <a:ln w="9525">
                    <a:noFill/>
                    <a:miter lim="800000"/>
                    <a:headEnd/>
                    <a:tailEnd/>
                  </a:ln>
                </pic:spPr>
              </pic:pic>
            </a:graphicData>
          </a:graphic>
        </wp:inline>
      </w:drawing>
    </w:r>
    <w:r w:rsidR="00265E52">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D2F92" w14:textId="77777777" w:rsidR="00265E52" w:rsidRDefault="00265E52" w:rsidP="00C2562C">
    <w:pPr>
      <w:pStyle w:val="Header"/>
      <w:tabs>
        <w:tab w:val="clear" w:pos="9360"/>
      </w:tabs>
      <w:ind w:left="-851"/>
      <w:jc w:val="center"/>
    </w:pPr>
    <w:r>
      <w:rPr>
        <w:noProof/>
        <w:lang w:eastAsia="zh-CN" w:bidi="ar-SA"/>
      </w:rPr>
      <w:drawing>
        <wp:inline distT="0" distB="0" distL="0" distR="0" wp14:anchorId="18DC42A4" wp14:editId="54F54699">
          <wp:extent cx="3049905" cy="789940"/>
          <wp:effectExtent l="19050" t="0" r="0" b="0"/>
          <wp:docPr id="2" name="Picture 2" descr="ACIG logo Lo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IG logo Long transparent"/>
                  <pic:cNvPicPr>
                    <a:picLocks noChangeAspect="1" noChangeArrowheads="1"/>
                  </pic:cNvPicPr>
                </pic:nvPicPr>
                <pic:blipFill>
                  <a:blip r:embed="rId1"/>
                  <a:srcRect/>
                  <a:stretch>
                    <a:fillRect/>
                  </a:stretch>
                </pic:blipFill>
                <pic:spPr bwMode="auto">
                  <a:xfrm>
                    <a:off x="0" y="0"/>
                    <a:ext cx="3049905" cy="789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02B4F4E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428C48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B82D0D2"/>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1F2F7D65"/>
    <w:multiLevelType w:val="hybridMultilevel"/>
    <w:tmpl w:val="C910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43D24"/>
    <w:multiLevelType w:val="multilevel"/>
    <w:tmpl w:val="0A56076A"/>
    <w:lvl w:ilvl="0">
      <w:start w:val="1"/>
      <w:numFmt w:val="arabicAlpha"/>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34E14971"/>
    <w:multiLevelType w:val="hybridMultilevel"/>
    <w:tmpl w:val="58CA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65CDC"/>
    <w:multiLevelType w:val="hybridMultilevel"/>
    <w:tmpl w:val="6EBA7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A3FD3"/>
    <w:multiLevelType w:val="hybridMultilevel"/>
    <w:tmpl w:val="A2088966"/>
    <w:lvl w:ilvl="0" w:tplc="0C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31011F"/>
    <w:multiLevelType w:val="multilevel"/>
    <w:tmpl w:val="6BB6B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F70D48"/>
    <w:multiLevelType w:val="hybridMultilevel"/>
    <w:tmpl w:val="4EF6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7F5318"/>
    <w:multiLevelType w:val="hybridMultilevel"/>
    <w:tmpl w:val="A88A34A0"/>
    <w:lvl w:ilvl="0" w:tplc="66068FF0">
      <w:start w:val="1"/>
      <w:numFmt w:val="bullet"/>
      <w:pStyle w:val="ListBullet2"/>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11" w15:restartNumberingAfterBreak="0">
    <w:nsid w:val="61F4139C"/>
    <w:multiLevelType w:val="hybridMultilevel"/>
    <w:tmpl w:val="531E1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2F127E"/>
    <w:multiLevelType w:val="hybridMultilevel"/>
    <w:tmpl w:val="5DC817E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FF598B"/>
    <w:multiLevelType w:val="hybridMultilevel"/>
    <w:tmpl w:val="F73A0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5B208F4"/>
    <w:multiLevelType w:val="hybridMultilevel"/>
    <w:tmpl w:val="3544BB00"/>
    <w:lvl w:ilvl="0" w:tplc="66BA6FB2">
      <w:start w:val="1"/>
      <w:numFmt w:val="decimal"/>
      <w:lvlText w:val="%1."/>
      <w:lvlJc w:val="left"/>
      <w:pPr>
        <w:ind w:left="360" w:hanging="360"/>
      </w:pPr>
      <w:rPr>
        <w:rFonts w:ascii="Arial Bold" w:hAnsi="Arial Bold" w:cs="Arial Bold" w:hint="default"/>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CC7DE8"/>
    <w:multiLevelType w:val="hybridMultilevel"/>
    <w:tmpl w:val="8B326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422F5B"/>
    <w:multiLevelType w:val="hybridMultilevel"/>
    <w:tmpl w:val="07826F8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437814"/>
    <w:multiLevelType w:val="hybridMultilevel"/>
    <w:tmpl w:val="E72E6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F9E28B0"/>
    <w:multiLevelType w:val="hybridMultilevel"/>
    <w:tmpl w:val="AADAE810"/>
    <w:lvl w:ilvl="0" w:tplc="7B98F9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10"/>
  </w:num>
  <w:num w:numId="5">
    <w:abstractNumId w:val="6"/>
  </w:num>
  <w:num w:numId="6">
    <w:abstractNumId w:val="3"/>
  </w:num>
  <w:num w:numId="7">
    <w:abstractNumId w:val="18"/>
  </w:num>
  <w:num w:numId="8">
    <w:abstractNumId w:val="11"/>
  </w:num>
  <w:num w:numId="9">
    <w:abstractNumId w:val="16"/>
  </w:num>
  <w:num w:numId="10">
    <w:abstractNumId w:val="8"/>
  </w:num>
  <w:num w:numId="11">
    <w:abstractNumId w:val="7"/>
  </w:num>
  <w:num w:numId="12">
    <w:abstractNumId w:val="9"/>
  </w:num>
  <w:num w:numId="13">
    <w:abstractNumId w:val="17"/>
  </w:num>
  <w:num w:numId="14">
    <w:abstractNumId w:val="13"/>
  </w:num>
  <w:num w:numId="15">
    <w:abstractNumId w:val="15"/>
  </w:num>
  <w:num w:numId="16">
    <w:abstractNumId w:val="14"/>
  </w:num>
  <w:num w:numId="17">
    <w:abstractNumId w:val="12"/>
  </w:num>
  <w:num w:numId="18">
    <w:abstractNumId w:val="4"/>
  </w:num>
  <w:num w:numId="1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D6"/>
    <w:rsid w:val="00000949"/>
    <w:rsid w:val="000121B8"/>
    <w:rsid w:val="00017DDB"/>
    <w:rsid w:val="00023512"/>
    <w:rsid w:val="00023E59"/>
    <w:rsid w:val="0002714F"/>
    <w:rsid w:val="000328A2"/>
    <w:rsid w:val="0007760C"/>
    <w:rsid w:val="00083BC8"/>
    <w:rsid w:val="0008562A"/>
    <w:rsid w:val="00085A36"/>
    <w:rsid w:val="000964B7"/>
    <w:rsid w:val="000A1076"/>
    <w:rsid w:val="000B6365"/>
    <w:rsid w:val="000C0FD7"/>
    <w:rsid w:val="000C5167"/>
    <w:rsid w:val="000C6B2E"/>
    <w:rsid w:val="000C7897"/>
    <w:rsid w:val="000D1296"/>
    <w:rsid w:val="000F083F"/>
    <w:rsid w:val="000F5927"/>
    <w:rsid w:val="000F794C"/>
    <w:rsid w:val="00101754"/>
    <w:rsid w:val="00102247"/>
    <w:rsid w:val="00123E04"/>
    <w:rsid w:val="00124881"/>
    <w:rsid w:val="001373A0"/>
    <w:rsid w:val="00141874"/>
    <w:rsid w:val="00142EBB"/>
    <w:rsid w:val="00144B1B"/>
    <w:rsid w:val="00147E65"/>
    <w:rsid w:val="001577F4"/>
    <w:rsid w:val="0016195D"/>
    <w:rsid w:val="00181D77"/>
    <w:rsid w:val="00184A6B"/>
    <w:rsid w:val="001A5355"/>
    <w:rsid w:val="001A541E"/>
    <w:rsid w:val="001A6E2E"/>
    <w:rsid w:val="001B337F"/>
    <w:rsid w:val="001B35DE"/>
    <w:rsid w:val="001D0AB7"/>
    <w:rsid w:val="001D1DEB"/>
    <w:rsid w:val="001D64DD"/>
    <w:rsid w:val="001E32B8"/>
    <w:rsid w:val="001F797E"/>
    <w:rsid w:val="00203D87"/>
    <w:rsid w:val="002058E1"/>
    <w:rsid w:val="00207ED8"/>
    <w:rsid w:val="002110FA"/>
    <w:rsid w:val="0021772D"/>
    <w:rsid w:val="0022503D"/>
    <w:rsid w:val="002276FD"/>
    <w:rsid w:val="002342A7"/>
    <w:rsid w:val="002473AD"/>
    <w:rsid w:val="00250279"/>
    <w:rsid w:val="00265E52"/>
    <w:rsid w:val="00265F90"/>
    <w:rsid w:val="00273354"/>
    <w:rsid w:val="00276F47"/>
    <w:rsid w:val="00287DA6"/>
    <w:rsid w:val="00293161"/>
    <w:rsid w:val="00294D4F"/>
    <w:rsid w:val="002A182A"/>
    <w:rsid w:val="002A1E40"/>
    <w:rsid w:val="002B5CC4"/>
    <w:rsid w:val="002B7D69"/>
    <w:rsid w:val="002C3D50"/>
    <w:rsid w:val="002C7EFF"/>
    <w:rsid w:val="00304123"/>
    <w:rsid w:val="00306036"/>
    <w:rsid w:val="00311AA0"/>
    <w:rsid w:val="00327A1A"/>
    <w:rsid w:val="003308BB"/>
    <w:rsid w:val="003401B4"/>
    <w:rsid w:val="003426C6"/>
    <w:rsid w:val="003426EE"/>
    <w:rsid w:val="00352CA5"/>
    <w:rsid w:val="00352E3D"/>
    <w:rsid w:val="003643C4"/>
    <w:rsid w:val="003644DC"/>
    <w:rsid w:val="00367D10"/>
    <w:rsid w:val="00371356"/>
    <w:rsid w:val="00384915"/>
    <w:rsid w:val="00391D09"/>
    <w:rsid w:val="00392926"/>
    <w:rsid w:val="003951BB"/>
    <w:rsid w:val="003961C1"/>
    <w:rsid w:val="003B50A3"/>
    <w:rsid w:val="003D7A8D"/>
    <w:rsid w:val="003E03CB"/>
    <w:rsid w:val="003E7F79"/>
    <w:rsid w:val="003F0D47"/>
    <w:rsid w:val="003F1F29"/>
    <w:rsid w:val="003F4225"/>
    <w:rsid w:val="003F686E"/>
    <w:rsid w:val="00400344"/>
    <w:rsid w:val="0040195C"/>
    <w:rsid w:val="00406CEE"/>
    <w:rsid w:val="00412A64"/>
    <w:rsid w:val="00416093"/>
    <w:rsid w:val="0042169D"/>
    <w:rsid w:val="004256A5"/>
    <w:rsid w:val="004353D1"/>
    <w:rsid w:val="00440B47"/>
    <w:rsid w:val="00454CBD"/>
    <w:rsid w:val="0045612A"/>
    <w:rsid w:val="00460A7C"/>
    <w:rsid w:val="00463411"/>
    <w:rsid w:val="00466E60"/>
    <w:rsid w:val="00472AE4"/>
    <w:rsid w:val="00481C0C"/>
    <w:rsid w:val="00482610"/>
    <w:rsid w:val="004837E2"/>
    <w:rsid w:val="00483D9D"/>
    <w:rsid w:val="00492E56"/>
    <w:rsid w:val="0049600A"/>
    <w:rsid w:val="004A18F6"/>
    <w:rsid w:val="004A35BB"/>
    <w:rsid w:val="004A47B9"/>
    <w:rsid w:val="004A58B8"/>
    <w:rsid w:val="004A76DE"/>
    <w:rsid w:val="004B6776"/>
    <w:rsid w:val="004B6A85"/>
    <w:rsid w:val="004E22C7"/>
    <w:rsid w:val="004E2498"/>
    <w:rsid w:val="004E4B74"/>
    <w:rsid w:val="0051347B"/>
    <w:rsid w:val="00517E99"/>
    <w:rsid w:val="00532323"/>
    <w:rsid w:val="0054429B"/>
    <w:rsid w:val="005562E5"/>
    <w:rsid w:val="0055717A"/>
    <w:rsid w:val="005716B7"/>
    <w:rsid w:val="00573397"/>
    <w:rsid w:val="0057629A"/>
    <w:rsid w:val="0057629C"/>
    <w:rsid w:val="00577F86"/>
    <w:rsid w:val="00580A87"/>
    <w:rsid w:val="005A2B8D"/>
    <w:rsid w:val="005C09C7"/>
    <w:rsid w:val="005C163D"/>
    <w:rsid w:val="005C62A7"/>
    <w:rsid w:val="005D6F61"/>
    <w:rsid w:val="005E2917"/>
    <w:rsid w:val="005F2D09"/>
    <w:rsid w:val="0061016F"/>
    <w:rsid w:val="0061408A"/>
    <w:rsid w:val="0061550E"/>
    <w:rsid w:val="00624AEC"/>
    <w:rsid w:val="0063569C"/>
    <w:rsid w:val="00635F0B"/>
    <w:rsid w:val="00647BBA"/>
    <w:rsid w:val="00652018"/>
    <w:rsid w:val="00656C07"/>
    <w:rsid w:val="006735F6"/>
    <w:rsid w:val="00673F9B"/>
    <w:rsid w:val="006762B8"/>
    <w:rsid w:val="0067792E"/>
    <w:rsid w:val="00683C6C"/>
    <w:rsid w:val="00685BA3"/>
    <w:rsid w:val="00696FFE"/>
    <w:rsid w:val="006A3757"/>
    <w:rsid w:val="006B7BEC"/>
    <w:rsid w:val="006E28C6"/>
    <w:rsid w:val="006E5066"/>
    <w:rsid w:val="006E5C0F"/>
    <w:rsid w:val="006F1FB6"/>
    <w:rsid w:val="0070074A"/>
    <w:rsid w:val="00704FE4"/>
    <w:rsid w:val="0071629B"/>
    <w:rsid w:val="00722431"/>
    <w:rsid w:val="0072423D"/>
    <w:rsid w:val="00726B93"/>
    <w:rsid w:val="00731C3E"/>
    <w:rsid w:val="00733E56"/>
    <w:rsid w:val="00736CC9"/>
    <w:rsid w:val="00740F60"/>
    <w:rsid w:val="00743A93"/>
    <w:rsid w:val="007670C2"/>
    <w:rsid w:val="00767C65"/>
    <w:rsid w:val="00787F8F"/>
    <w:rsid w:val="007A174E"/>
    <w:rsid w:val="007A7FA6"/>
    <w:rsid w:val="007C3742"/>
    <w:rsid w:val="007C469F"/>
    <w:rsid w:val="007D32B7"/>
    <w:rsid w:val="007E1AD3"/>
    <w:rsid w:val="007E6F9A"/>
    <w:rsid w:val="007F0696"/>
    <w:rsid w:val="007F633A"/>
    <w:rsid w:val="007F7962"/>
    <w:rsid w:val="00803F79"/>
    <w:rsid w:val="00804134"/>
    <w:rsid w:val="00815A76"/>
    <w:rsid w:val="00817EAC"/>
    <w:rsid w:val="00831E94"/>
    <w:rsid w:val="00832606"/>
    <w:rsid w:val="00832757"/>
    <w:rsid w:val="00832AEE"/>
    <w:rsid w:val="00841F67"/>
    <w:rsid w:val="008433FC"/>
    <w:rsid w:val="00854588"/>
    <w:rsid w:val="00860F68"/>
    <w:rsid w:val="00866FF8"/>
    <w:rsid w:val="0087241F"/>
    <w:rsid w:val="00873893"/>
    <w:rsid w:val="00876A55"/>
    <w:rsid w:val="0087723B"/>
    <w:rsid w:val="00880308"/>
    <w:rsid w:val="008822A3"/>
    <w:rsid w:val="00882354"/>
    <w:rsid w:val="00882E28"/>
    <w:rsid w:val="008930C3"/>
    <w:rsid w:val="00897328"/>
    <w:rsid w:val="008A4120"/>
    <w:rsid w:val="008B442C"/>
    <w:rsid w:val="008C4F95"/>
    <w:rsid w:val="008C6536"/>
    <w:rsid w:val="008D3421"/>
    <w:rsid w:val="008D72E9"/>
    <w:rsid w:val="008F1AF4"/>
    <w:rsid w:val="009123B6"/>
    <w:rsid w:val="00914215"/>
    <w:rsid w:val="0091532B"/>
    <w:rsid w:val="0091793A"/>
    <w:rsid w:val="00927979"/>
    <w:rsid w:val="00935124"/>
    <w:rsid w:val="00936441"/>
    <w:rsid w:val="009432E8"/>
    <w:rsid w:val="00960831"/>
    <w:rsid w:val="0099631A"/>
    <w:rsid w:val="009A3A9F"/>
    <w:rsid w:val="009A5F69"/>
    <w:rsid w:val="009B5DA7"/>
    <w:rsid w:val="009B79A6"/>
    <w:rsid w:val="009C757D"/>
    <w:rsid w:val="009C77A8"/>
    <w:rsid w:val="009D5A26"/>
    <w:rsid w:val="009F47C8"/>
    <w:rsid w:val="00A07882"/>
    <w:rsid w:val="00A10D81"/>
    <w:rsid w:val="00A172FA"/>
    <w:rsid w:val="00A243F9"/>
    <w:rsid w:val="00A24449"/>
    <w:rsid w:val="00A36228"/>
    <w:rsid w:val="00A3629D"/>
    <w:rsid w:val="00A40DB0"/>
    <w:rsid w:val="00A44B9B"/>
    <w:rsid w:val="00A660EB"/>
    <w:rsid w:val="00A67F51"/>
    <w:rsid w:val="00A80A68"/>
    <w:rsid w:val="00A86B36"/>
    <w:rsid w:val="00A92158"/>
    <w:rsid w:val="00A97410"/>
    <w:rsid w:val="00AA0126"/>
    <w:rsid w:val="00AA3927"/>
    <w:rsid w:val="00AA6D42"/>
    <w:rsid w:val="00AC1BD6"/>
    <w:rsid w:val="00AC209F"/>
    <w:rsid w:val="00AC3F95"/>
    <w:rsid w:val="00AC5490"/>
    <w:rsid w:val="00AC54BB"/>
    <w:rsid w:val="00AD1076"/>
    <w:rsid w:val="00AE0D58"/>
    <w:rsid w:val="00AE686B"/>
    <w:rsid w:val="00AF4291"/>
    <w:rsid w:val="00B026C8"/>
    <w:rsid w:val="00B124BF"/>
    <w:rsid w:val="00B1475A"/>
    <w:rsid w:val="00B156C6"/>
    <w:rsid w:val="00B21330"/>
    <w:rsid w:val="00B21344"/>
    <w:rsid w:val="00B22FE8"/>
    <w:rsid w:val="00B26B58"/>
    <w:rsid w:val="00B411B1"/>
    <w:rsid w:val="00B53525"/>
    <w:rsid w:val="00B719E4"/>
    <w:rsid w:val="00B72D49"/>
    <w:rsid w:val="00BA0533"/>
    <w:rsid w:val="00BA3EC6"/>
    <w:rsid w:val="00BA5116"/>
    <w:rsid w:val="00BA78FE"/>
    <w:rsid w:val="00BB7588"/>
    <w:rsid w:val="00BD713C"/>
    <w:rsid w:val="00BE0774"/>
    <w:rsid w:val="00BE48F0"/>
    <w:rsid w:val="00BE4F32"/>
    <w:rsid w:val="00C144AE"/>
    <w:rsid w:val="00C163C0"/>
    <w:rsid w:val="00C20205"/>
    <w:rsid w:val="00C21952"/>
    <w:rsid w:val="00C249CB"/>
    <w:rsid w:val="00C2536D"/>
    <w:rsid w:val="00C2562C"/>
    <w:rsid w:val="00C26F6D"/>
    <w:rsid w:val="00C3155A"/>
    <w:rsid w:val="00C3454E"/>
    <w:rsid w:val="00C3504F"/>
    <w:rsid w:val="00C40474"/>
    <w:rsid w:val="00C50C2C"/>
    <w:rsid w:val="00C77E9F"/>
    <w:rsid w:val="00C8398F"/>
    <w:rsid w:val="00C86683"/>
    <w:rsid w:val="00C90D1C"/>
    <w:rsid w:val="00C93A60"/>
    <w:rsid w:val="00C95320"/>
    <w:rsid w:val="00C9701E"/>
    <w:rsid w:val="00CA5471"/>
    <w:rsid w:val="00CB0EA0"/>
    <w:rsid w:val="00CD30A8"/>
    <w:rsid w:val="00CD57F8"/>
    <w:rsid w:val="00CF0606"/>
    <w:rsid w:val="00CF4236"/>
    <w:rsid w:val="00CF4E9A"/>
    <w:rsid w:val="00D01CBD"/>
    <w:rsid w:val="00D049CB"/>
    <w:rsid w:val="00D07C27"/>
    <w:rsid w:val="00D10848"/>
    <w:rsid w:val="00D10DB6"/>
    <w:rsid w:val="00D11495"/>
    <w:rsid w:val="00D12CEE"/>
    <w:rsid w:val="00D1448B"/>
    <w:rsid w:val="00D22E4A"/>
    <w:rsid w:val="00D3158D"/>
    <w:rsid w:val="00D34405"/>
    <w:rsid w:val="00D40927"/>
    <w:rsid w:val="00D41280"/>
    <w:rsid w:val="00D41B02"/>
    <w:rsid w:val="00D46C24"/>
    <w:rsid w:val="00D543D6"/>
    <w:rsid w:val="00D56760"/>
    <w:rsid w:val="00D57C1D"/>
    <w:rsid w:val="00D662AE"/>
    <w:rsid w:val="00D667A4"/>
    <w:rsid w:val="00D6799D"/>
    <w:rsid w:val="00D725B5"/>
    <w:rsid w:val="00D7384E"/>
    <w:rsid w:val="00D86EA8"/>
    <w:rsid w:val="00D9442D"/>
    <w:rsid w:val="00D97BFC"/>
    <w:rsid w:val="00DA148D"/>
    <w:rsid w:val="00DA436F"/>
    <w:rsid w:val="00DB0A4C"/>
    <w:rsid w:val="00DB0B78"/>
    <w:rsid w:val="00DB6622"/>
    <w:rsid w:val="00DB6F29"/>
    <w:rsid w:val="00DE173D"/>
    <w:rsid w:val="00DE621B"/>
    <w:rsid w:val="00DF2FD4"/>
    <w:rsid w:val="00DF5B00"/>
    <w:rsid w:val="00E00260"/>
    <w:rsid w:val="00E016F8"/>
    <w:rsid w:val="00E0271A"/>
    <w:rsid w:val="00E06E56"/>
    <w:rsid w:val="00E13252"/>
    <w:rsid w:val="00E13B4B"/>
    <w:rsid w:val="00E15156"/>
    <w:rsid w:val="00E16AE4"/>
    <w:rsid w:val="00E3060B"/>
    <w:rsid w:val="00E445FE"/>
    <w:rsid w:val="00E52A32"/>
    <w:rsid w:val="00E5754C"/>
    <w:rsid w:val="00E57BDD"/>
    <w:rsid w:val="00E70B81"/>
    <w:rsid w:val="00E7196B"/>
    <w:rsid w:val="00E838B6"/>
    <w:rsid w:val="00E90B6D"/>
    <w:rsid w:val="00E9134A"/>
    <w:rsid w:val="00E93242"/>
    <w:rsid w:val="00EA3A02"/>
    <w:rsid w:val="00EA7409"/>
    <w:rsid w:val="00EB3FD2"/>
    <w:rsid w:val="00EC1F81"/>
    <w:rsid w:val="00EC3D26"/>
    <w:rsid w:val="00EC45DC"/>
    <w:rsid w:val="00ED0B4F"/>
    <w:rsid w:val="00ED1EDB"/>
    <w:rsid w:val="00EF2D04"/>
    <w:rsid w:val="00F01779"/>
    <w:rsid w:val="00F0619E"/>
    <w:rsid w:val="00F10ACB"/>
    <w:rsid w:val="00F10C43"/>
    <w:rsid w:val="00F21D6A"/>
    <w:rsid w:val="00F21D76"/>
    <w:rsid w:val="00F223FA"/>
    <w:rsid w:val="00F35CBA"/>
    <w:rsid w:val="00F4462E"/>
    <w:rsid w:val="00F46F4F"/>
    <w:rsid w:val="00F50E4C"/>
    <w:rsid w:val="00F635A2"/>
    <w:rsid w:val="00F723E5"/>
    <w:rsid w:val="00F77C52"/>
    <w:rsid w:val="00F80CBA"/>
    <w:rsid w:val="00F81B80"/>
    <w:rsid w:val="00F81B9D"/>
    <w:rsid w:val="00F84050"/>
    <w:rsid w:val="00F96D2C"/>
    <w:rsid w:val="00FC724F"/>
    <w:rsid w:val="00FE75DF"/>
    <w:rsid w:val="00FE77E2"/>
    <w:rsid w:val="00FF7E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A2283C4"/>
  <w15:docId w15:val="{25896A79-2620-4F32-A89F-01BA3E05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abic Transparent" w:eastAsia="Arabic Transparent" w:hAnsi="Arabic Transparent" w:cs="Arabic Transparent"/>
        <w:lang w:val="en-US" w:eastAsia="ar-EG" w:bidi="ar-E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CEE"/>
    <w:pPr>
      <w:bidi/>
    </w:pPr>
    <w:rPr>
      <w:rFonts w:ascii="Calibri" w:eastAsia="Times New Roman" w:hAnsi="Calibri"/>
      <w:sz w:val="24"/>
      <w:szCs w:val="24"/>
      <w:rtl/>
      <w:lang w:eastAsia="en-US"/>
    </w:rPr>
  </w:style>
  <w:style w:type="paragraph" w:styleId="Heading1">
    <w:name w:val="heading 1"/>
    <w:next w:val="BodyText"/>
    <w:link w:val="Heading1Char"/>
    <w:uiPriority w:val="9"/>
    <w:qFormat/>
    <w:rsid w:val="00CF4E9A"/>
    <w:pPr>
      <w:keepNext/>
      <w:keepLines/>
      <w:pageBreakBefore/>
      <w:pBdr>
        <w:top w:val="single" w:sz="4" w:space="1" w:color="00408E"/>
        <w:bottom w:val="single" w:sz="4" w:space="1" w:color="00408E"/>
      </w:pBdr>
      <w:bidi/>
      <w:spacing w:after="200" w:line="276" w:lineRule="auto"/>
      <w:outlineLvl w:val="0"/>
    </w:pPr>
    <w:rPr>
      <w:b/>
      <w:color w:val="00408E"/>
      <w:sz w:val="28"/>
      <w:szCs w:val="28"/>
      <w:rtl/>
      <w:lang w:eastAsia="en-US"/>
    </w:rPr>
  </w:style>
  <w:style w:type="paragraph" w:styleId="Heading2">
    <w:name w:val="heading 2"/>
    <w:basedOn w:val="BodyText"/>
    <w:next w:val="BodyText"/>
    <w:link w:val="Heading2Char"/>
    <w:autoRedefine/>
    <w:uiPriority w:val="9"/>
    <w:unhideWhenUsed/>
    <w:qFormat/>
    <w:rsid w:val="00704FE4"/>
    <w:pPr>
      <w:keepNext/>
      <w:keepLines/>
      <w:ind w:right="545"/>
      <w:outlineLvl w:val="1"/>
    </w:pPr>
    <w:rPr>
      <w:rFonts w:ascii="Arial Bold" w:hAnsi="Arial Bold" w:cs="Arial Bold"/>
      <w:b/>
      <w:bCs/>
      <w:color w:val="00408E"/>
      <w:spacing w:val="4"/>
      <w:sz w:val="24"/>
      <w:szCs w:val="24"/>
      <w:rtl w:val="0"/>
    </w:rPr>
  </w:style>
  <w:style w:type="paragraph" w:styleId="Heading3">
    <w:name w:val="heading 3"/>
    <w:basedOn w:val="BodyText"/>
    <w:next w:val="BodyText"/>
    <w:link w:val="Heading3Char"/>
    <w:uiPriority w:val="9"/>
    <w:unhideWhenUsed/>
    <w:qFormat/>
    <w:rsid w:val="00CF4E9A"/>
    <w:pPr>
      <w:keepNext/>
      <w:keepLines/>
      <w:jc w:val="left"/>
      <w:outlineLvl w:val="2"/>
    </w:pPr>
    <w:rPr>
      <w:b/>
      <w:color w:val="00408E"/>
    </w:rPr>
  </w:style>
  <w:style w:type="paragraph" w:styleId="Heading4">
    <w:name w:val="heading 4"/>
    <w:basedOn w:val="BodyText"/>
    <w:next w:val="BodyText"/>
    <w:link w:val="Heading4Char"/>
    <w:uiPriority w:val="9"/>
    <w:unhideWhenUsed/>
    <w:qFormat/>
    <w:rsid w:val="004E22C7"/>
    <w:pPr>
      <w:keepNext/>
      <w:keepLines/>
      <w:jc w:val="left"/>
      <w:outlineLvl w:val="3"/>
    </w:pPr>
    <w:rPr>
      <w:color w:val="00408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4FE4"/>
    <w:rPr>
      <w:rFonts w:ascii="Arial Bold" w:hAnsi="Arial Bold" w:cs="Arial Bold"/>
      <w:b/>
      <w:bCs/>
      <w:color w:val="00408E"/>
      <w:spacing w:val="4"/>
      <w:sz w:val="24"/>
      <w:szCs w:val="24"/>
      <w:lang w:eastAsia="en-US"/>
    </w:rPr>
  </w:style>
  <w:style w:type="paragraph" w:styleId="TOC1">
    <w:name w:val="toc 1"/>
    <w:basedOn w:val="Normal"/>
    <w:next w:val="Normal"/>
    <w:uiPriority w:val="39"/>
    <w:rsid w:val="009123B6"/>
    <w:pPr>
      <w:widowControl w:val="0"/>
      <w:tabs>
        <w:tab w:val="left" w:leader="dot" w:pos="7938"/>
      </w:tabs>
      <w:suppressAutoHyphens/>
      <w:spacing w:before="240" w:after="300"/>
      <w:ind w:left="1134" w:hanging="567"/>
      <w:jc w:val="both"/>
    </w:pPr>
    <w:rPr>
      <w:rFonts w:ascii="Century Gothic" w:hAnsi="Century Gothic"/>
      <w:b/>
      <w:bCs/>
      <w:sz w:val="28"/>
    </w:rPr>
  </w:style>
  <w:style w:type="paragraph" w:styleId="Header">
    <w:name w:val="header"/>
    <w:basedOn w:val="BodyText"/>
    <w:link w:val="HeaderChar"/>
    <w:uiPriority w:val="99"/>
    <w:unhideWhenUsed/>
    <w:rsid w:val="00A24449"/>
    <w:pPr>
      <w:tabs>
        <w:tab w:val="center" w:pos="4680"/>
        <w:tab w:val="right" w:pos="9360"/>
      </w:tabs>
    </w:pPr>
  </w:style>
  <w:style w:type="character" w:customStyle="1" w:styleId="HeaderChar">
    <w:name w:val="Header Char"/>
    <w:basedOn w:val="DefaultParagraphFont"/>
    <w:link w:val="Header"/>
    <w:uiPriority w:val="99"/>
    <w:rsid w:val="00AD1076"/>
    <w:rPr>
      <w:rFonts w:ascii="Century Gothic" w:hAnsi="Century Gothic"/>
      <w:szCs w:val="22"/>
      <w:lang w:val="en-AU"/>
    </w:rPr>
  </w:style>
  <w:style w:type="paragraph" w:styleId="Footer">
    <w:name w:val="footer"/>
    <w:basedOn w:val="Normal"/>
    <w:link w:val="FooterChar"/>
    <w:uiPriority w:val="99"/>
    <w:unhideWhenUsed/>
    <w:rsid w:val="00A24449"/>
    <w:pPr>
      <w:tabs>
        <w:tab w:val="center" w:pos="4680"/>
        <w:tab w:val="right" w:pos="9360"/>
      </w:tabs>
      <w:spacing w:after="200" w:line="276" w:lineRule="auto"/>
      <w:jc w:val="both"/>
    </w:pPr>
    <w:rPr>
      <w:rFonts w:ascii="Century Gothic" w:eastAsia="Calibri" w:hAnsi="Century Gothic"/>
      <w:sz w:val="20"/>
      <w:szCs w:val="22"/>
    </w:rPr>
  </w:style>
  <w:style w:type="character" w:customStyle="1" w:styleId="FooterChar">
    <w:name w:val="Footer Char"/>
    <w:basedOn w:val="DefaultParagraphFont"/>
    <w:link w:val="Footer"/>
    <w:uiPriority w:val="99"/>
    <w:rsid w:val="00A24449"/>
    <w:rPr>
      <w:rFonts w:ascii="Century Gothic" w:hAnsi="Century Gothic"/>
      <w:szCs w:val="22"/>
      <w:lang w:val="en-AU"/>
    </w:rPr>
  </w:style>
  <w:style w:type="character" w:customStyle="1" w:styleId="Heading1Char">
    <w:name w:val="Heading 1 Char"/>
    <w:basedOn w:val="DefaultParagraphFont"/>
    <w:link w:val="Heading1"/>
    <w:uiPriority w:val="9"/>
    <w:rsid w:val="00CF4E9A"/>
    <w:rPr>
      <w:b/>
      <w:color w:val="00408E"/>
      <w:sz w:val="28"/>
      <w:szCs w:val="28"/>
      <w:lang w:val="en-AU" w:eastAsia="en-US" w:bidi="ar-EG"/>
    </w:rPr>
  </w:style>
  <w:style w:type="paragraph" w:styleId="Title">
    <w:name w:val="Title"/>
    <w:basedOn w:val="BodyText"/>
    <w:next w:val="BodyText"/>
    <w:link w:val="TitleChar"/>
    <w:autoRedefine/>
    <w:uiPriority w:val="10"/>
    <w:qFormat/>
    <w:rsid w:val="00A86B36"/>
    <w:pPr>
      <w:spacing w:before="240" w:after="60"/>
      <w:jc w:val="center"/>
      <w:outlineLvl w:val="0"/>
    </w:pPr>
    <w:rPr>
      <w:rFonts w:eastAsia="Times New Roman"/>
      <w:b/>
      <w:bCs/>
      <w:color w:val="00408E"/>
      <w:kern w:val="28"/>
      <w:sz w:val="48"/>
      <w:szCs w:val="48"/>
    </w:rPr>
  </w:style>
  <w:style w:type="paragraph" w:styleId="BodyText">
    <w:name w:val="Body Text"/>
    <w:link w:val="BodyTextChar"/>
    <w:uiPriority w:val="99"/>
    <w:unhideWhenUsed/>
    <w:qFormat/>
    <w:rsid w:val="004E22C7"/>
    <w:pPr>
      <w:bidi/>
      <w:spacing w:after="200" w:line="276" w:lineRule="auto"/>
      <w:jc w:val="both"/>
    </w:pPr>
    <w:rPr>
      <w:szCs w:val="22"/>
      <w:rtl/>
      <w:lang w:eastAsia="en-US"/>
    </w:rPr>
  </w:style>
  <w:style w:type="character" w:customStyle="1" w:styleId="BodyTextChar">
    <w:name w:val="Body Text Char"/>
    <w:basedOn w:val="DefaultParagraphFont"/>
    <w:link w:val="BodyText"/>
    <w:uiPriority w:val="99"/>
    <w:rsid w:val="004E22C7"/>
    <w:rPr>
      <w:szCs w:val="22"/>
      <w:lang w:val="en-AU" w:eastAsia="en-US" w:bidi="ar-EG"/>
    </w:rPr>
  </w:style>
  <w:style w:type="character" w:customStyle="1" w:styleId="TitleChar">
    <w:name w:val="Title Char"/>
    <w:basedOn w:val="DefaultParagraphFont"/>
    <w:link w:val="Title"/>
    <w:uiPriority w:val="10"/>
    <w:rsid w:val="00A86B36"/>
    <w:rPr>
      <w:rFonts w:eastAsia="Times New Roman"/>
      <w:b/>
      <w:bCs/>
      <w:color w:val="00408E"/>
      <w:kern w:val="28"/>
      <w:sz w:val="48"/>
      <w:szCs w:val="48"/>
      <w:lang w:val="en-AU"/>
    </w:rPr>
  </w:style>
  <w:style w:type="character" w:styleId="Hyperlink">
    <w:name w:val="Hyperlink"/>
    <w:basedOn w:val="DefaultParagraphFont"/>
    <w:uiPriority w:val="99"/>
    <w:unhideWhenUsed/>
    <w:rsid w:val="0072423D"/>
    <w:rPr>
      <w:color w:val="0000FF"/>
      <w:u w:val="single"/>
    </w:rPr>
  </w:style>
  <w:style w:type="character" w:customStyle="1" w:styleId="Heading3Char">
    <w:name w:val="Heading 3 Char"/>
    <w:basedOn w:val="DefaultParagraphFont"/>
    <w:link w:val="Heading3"/>
    <w:uiPriority w:val="9"/>
    <w:rsid w:val="00CF4E9A"/>
    <w:rPr>
      <w:b/>
      <w:color w:val="00408E"/>
      <w:szCs w:val="22"/>
      <w:lang w:val="en-AU"/>
    </w:rPr>
  </w:style>
  <w:style w:type="character" w:customStyle="1" w:styleId="Heading4Char">
    <w:name w:val="Heading 4 Char"/>
    <w:basedOn w:val="DefaultParagraphFont"/>
    <w:link w:val="Heading4"/>
    <w:uiPriority w:val="9"/>
    <w:rsid w:val="004E22C7"/>
    <w:rPr>
      <w:color w:val="00408E"/>
      <w:szCs w:val="22"/>
      <w:lang w:val="en-AU"/>
    </w:rPr>
  </w:style>
  <w:style w:type="paragraph" w:styleId="ListBullet">
    <w:name w:val="List Bullet"/>
    <w:basedOn w:val="ListBullet5"/>
    <w:uiPriority w:val="99"/>
    <w:unhideWhenUsed/>
    <w:qFormat/>
    <w:rsid w:val="004837E2"/>
    <w:pPr>
      <w:tabs>
        <w:tab w:val="num" w:pos="644"/>
      </w:tabs>
      <w:ind w:left="641" w:hanging="357"/>
      <w:contextualSpacing w:val="0"/>
    </w:pPr>
  </w:style>
  <w:style w:type="paragraph" w:styleId="ListBullet2">
    <w:name w:val="List Bullet 2"/>
    <w:basedOn w:val="ListBullet"/>
    <w:uiPriority w:val="99"/>
    <w:unhideWhenUsed/>
    <w:rsid w:val="008C4F95"/>
    <w:pPr>
      <w:numPr>
        <w:numId w:val="4"/>
      </w:numPr>
      <w:tabs>
        <w:tab w:val="num" w:pos="1492"/>
      </w:tabs>
      <w:ind w:left="993"/>
    </w:pPr>
  </w:style>
  <w:style w:type="paragraph" w:styleId="ListContinue">
    <w:name w:val="List Continue"/>
    <w:basedOn w:val="Normal"/>
    <w:uiPriority w:val="99"/>
    <w:unhideWhenUsed/>
    <w:rsid w:val="003961C1"/>
    <w:pPr>
      <w:spacing w:line="276" w:lineRule="auto"/>
      <w:ind w:left="283"/>
      <w:contextualSpacing/>
      <w:jc w:val="both"/>
    </w:pPr>
    <w:rPr>
      <w:rFonts w:ascii="Century Gothic" w:eastAsia="Calibri" w:hAnsi="Century Gothic"/>
      <w:sz w:val="20"/>
      <w:szCs w:val="22"/>
    </w:rPr>
  </w:style>
  <w:style w:type="paragraph" w:styleId="ListBullet3">
    <w:name w:val="List Bullet 3"/>
    <w:basedOn w:val="Normal"/>
    <w:uiPriority w:val="99"/>
    <w:unhideWhenUsed/>
    <w:rsid w:val="003961C1"/>
    <w:pPr>
      <w:numPr>
        <w:numId w:val="1"/>
      </w:numPr>
      <w:spacing w:after="200" w:line="276" w:lineRule="auto"/>
      <w:contextualSpacing/>
      <w:jc w:val="both"/>
    </w:pPr>
    <w:rPr>
      <w:rFonts w:ascii="Century Gothic" w:eastAsia="Calibri" w:hAnsi="Century Gothic"/>
      <w:sz w:val="20"/>
      <w:szCs w:val="22"/>
    </w:rPr>
  </w:style>
  <w:style w:type="paragraph" w:styleId="ListBullet4">
    <w:name w:val="List Bullet 4"/>
    <w:basedOn w:val="Normal"/>
    <w:uiPriority w:val="99"/>
    <w:unhideWhenUsed/>
    <w:rsid w:val="003961C1"/>
    <w:pPr>
      <w:numPr>
        <w:numId w:val="2"/>
      </w:numPr>
      <w:spacing w:after="200" w:line="276" w:lineRule="auto"/>
      <w:contextualSpacing/>
      <w:jc w:val="both"/>
    </w:pPr>
    <w:rPr>
      <w:rFonts w:ascii="Century Gothic" w:eastAsia="Calibri" w:hAnsi="Century Gothic"/>
      <w:sz w:val="20"/>
      <w:szCs w:val="22"/>
    </w:rPr>
  </w:style>
  <w:style w:type="paragraph" w:styleId="ListBullet5">
    <w:name w:val="List Bullet 5"/>
    <w:basedOn w:val="Normal"/>
    <w:uiPriority w:val="99"/>
    <w:unhideWhenUsed/>
    <w:rsid w:val="003961C1"/>
    <w:pPr>
      <w:numPr>
        <w:numId w:val="3"/>
      </w:numPr>
      <w:spacing w:after="200" w:line="276" w:lineRule="auto"/>
      <w:contextualSpacing/>
      <w:jc w:val="both"/>
    </w:pPr>
    <w:rPr>
      <w:rFonts w:ascii="Century Gothic" w:eastAsia="Calibri" w:hAnsi="Century Gothic"/>
      <w:sz w:val="20"/>
      <w:szCs w:val="22"/>
    </w:rPr>
  </w:style>
  <w:style w:type="paragraph" w:styleId="ListParagraph">
    <w:name w:val="List Paragraph"/>
    <w:basedOn w:val="Normal"/>
    <w:uiPriority w:val="34"/>
    <w:qFormat/>
    <w:rsid w:val="00C26F6D"/>
    <w:pPr>
      <w:spacing w:after="200" w:line="276" w:lineRule="auto"/>
      <w:ind w:left="720"/>
      <w:jc w:val="both"/>
    </w:pPr>
    <w:rPr>
      <w:rFonts w:ascii="Century Gothic" w:eastAsia="Calibri" w:hAnsi="Century Gothic"/>
      <w:sz w:val="20"/>
      <w:szCs w:val="22"/>
    </w:rPr>
  </w:style>
  <w:style w:type="paragraph" w:styleId="TOAHeading">
    <w:name w:val="toa heading"/>
    <w:basedOn w:val="Heading1"/>
    <w:next w:val="Normal"/>
    <w:uiPriority w:val="99"/>
    <w:unhideWhenUsed/>
    <w:rsid w:val="000C5167"/>
    <w:pPr>
      <w:spacing w:after="400"/>
    </w:pPr>
  </w:style>
  <w:style w:type="table" w:styleId="TableGrid">
    <w:name w:val="Table Grid"/>
    <w:basedOn w:val="TableNormal"/>
    <w:uiPriority w:val="59"/>
    <w:rsid w:val="003643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017D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17D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017D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017D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eNormal"/>
    <w:uiPriority w:val="61"/>
    <w:rsid w:val="00017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Normal"/>
    <w:rsid w:val="003401B4"/>
    <w:pPr>
      <w:spacing w:before="60" w:after="60"/>
      <w:ind w:left="28" w:right="28"/>
    </w:pPr>
    <w:rPr>
      <w:rFonts w:ascii="Century Gothic" w:hAnsi="Century Gothic"/>
      <w:sz w:val="18"/>
    </w:rPr>
  </w:style>
  <w:style w:type="paragraph" w:styleId="NoSpacing">
    <w:name w:val="No Spacing"/>
    <w:uiPriority w:val="1"/>
    <w:qFormat/>
    <w:rsid w:val="00C2562C"/>
    <w:pPr>
      <w:bidi/>
      <w:jc w:val="both"/>
    </w:pPr>
    <w:rPr>
      <w:szCs w:val="22"/>
      <w:rtl/>
      <w:lang w:eastAsia="en-US"/>
    </w:rPr>
  </w:style>
  <w:style w:type="paragraph" w:styleId="FootnoteText">
    <w:name w:val="footnote text"/>
    <w:basedOn w:val="Normal"/>
    <w:link w:val="FootnoteTextChar"/>
    <w:uiPriority w:val="99"/>
    <w:unhideWhenUsed/>
    <w:rsid w:val="00406CEE"/>
  </w:style>
  <w:style w:type="character" w:customStyle="1" w:styleId="FootnoteTextChar">
    <w:name w:val="Footnote Text Char"/>
    <w:basedOn w:val="DefaultParagraphFont"/>
    <w:link w:val="FootnoteText"/>
    <w:uiPriority w:val="99"/>
    <w:rsid w:val="00406CEE"/>
    <w:rPr>
      <w:rFonts w:ascii="Calibri" w:eastAsia="Times New Roman" w:hAnsi="Calibri" w:cs="Times New Roman"/>
      <w:sz w:val="24"/>
      <w:szCs w:val="24"/>
    </w:rPr>
  </w:style>
  <w:style w:type="character" w:styleId="FootnoteReference">
    <w:name w:val="footnote reference"/>
    <w:basedOn w:val="DefaultParagraphFont"/>
    <w:uiPriority w:val="99"/>
    <w:unhideWhenUsed/>
    <w:rsid w:val="00406CEE"/>
    <w:rPr>
      <w:vertAlign w:val="superscript"/>
    </w:rPr>
  </w:style>
  <w:style w:type="paragraph" w:styleId="BalloonText">
    <w:name w:val="Balloon Text"/>
    <w:basedOn w:val="Normal"/>
    <w:link w:val="BalloonTextChar"/>
    <w:uiPriority w:val="99"/>
    <w:semiHidden/>
    <w:unhideWhenUsed/>
    <w:rsid w:val="00406CEE"/>
    <w:rPr>
      <w:rFonts w:ascii="Tahoma" w:hAnsi="Tahoma" w:cs="Tahoma"/>
      <w:sz w:val="16"/>
      <w:szCs w:val="16"/>
    </w:rPr>
  </w:style>
  <w:style w:type="character" w:customStyle="1" w:styleId="BalloonTextChar">
    <w:name w:val="Balloon Text Char"/>
    <w:basedOn w:val="DefaultParagraphFont"/>
    <w:link w:val="BalloonText"/>
    <w:uiPriority w:val="99"/>
    <w:semiHidden/>
    <w:rsid w:val="00406CEE"/>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C163C0"/>
    <w:rPr>
      <w:rFonts w:ascii="Calibri" w:eastAsia="Times New Roman" w:hAnsi="Calibri"/>
      <w:sz w:val="24"/>
      <w:szCs w:val="24"/>
      <w:lang w:val="en-US" w:eastAsia="en-US"/>
    </w:rPr>
  </w:style>
  <w:style w:type="paragraph" w:styleId="CommentSubject">
    <w:name w:val="annotation subject"/>
    <w:basedOn w:val="CommentText"/>
    <w:next w:val="CommentText"/>
    <w:link w:val="CommentSubjectChar"/>
    <w:uiPriority w:val="99"/>
    <w:semiHidden/>
    <w:unhideWhenUsed/>
    <w:rsid w:val="00C163C0"/>
    <w:rPr>
      <w:b/>
      <w:bCs/>
    </w:rPr>
  </w:style>
  <w:style w:type="character" w:customStyle="1" w:styleId="CommentSubjectChar">
    <w:name w:val="Comment Subject Char"/>
    <w:basedOn w:val="CommentTextChar"/>
    <w:link w:val="CommentSubject"/>
    <w:uiPriority w:val="99"/>
    <w:semiHidden/>
    <w:rsid w:val="00C163C0"/>
    <w:rPr>
      <w:rFonts w:ascii="Calibri" w:eastAsia="Times New Roman" w:hAnsi="Calibri"/>
      <w:b/>
      <w:bCs/>
      <w:sz w:val="24"/>
      <w:szCs w:val="24"/>
      <w:lang w:val="en-US" w:eastAsia="en-US"/>
    </w:rPr>
  </w:style>
  <w:style w:type="paragraph" w:styleId="Revision">
    <w:name w:val="Revision"/>
    <w:hidden/>
    <w:uiPriority w:val="99"/>
    <w:semiHidden/>
    <w:rsid w:val="00C163C0"/>
    <w:pPr>
      <w:bidi/>
    </w:pPr>
    <w:rPr>
      <w:rFonts w:ascii="Calibri" w:eastAsia="Times New Roman" w:hAnsi="Calibri"/>
      <w:sz w:val="24"/>
      <w:szCs w:val="24"/>
      <w:rtl/>
      <w:lang w:eastAsia="en-US"/>
    </w:rPr>
  </w:style>
  <w:style w:type="paragraph" w:styleId="NormalWeb">
    <w:name w:val="Normal (Web)"/>
    <w:basedOn w:val="Normal"/>
    <w:uiPriority w:val="99"/>
    <w:semiHidden/>
    <w:unhideWhenUsed/>
    <w:rsid w:val="00B411B1"/>
    <w:pPr>
      <w:spacing w:before="100" w:beforeAutospacing="1" w:after="100" w:afterAutospacing="1"/>
    </w:pPr>
    <w:rPr>
      <w:rFonts w:ascii="Times New Roman" w:hAnsi="Times New Roman"/>
      <w:lang w:val="en-AU" w:eastAsia="en-AU"/>
    </w:rPr>
  </w:style>
  <w:style w:type="character" w:styleId="Strong">
    <w:name w:val="Strong"/>
    <w:basedOn w:val="DefaultParagraphFont"/>
    <w:uiPriority w:val="22"/>
    <w:qFormat/>
    <w:rsid w:val="00656C07"/>
    <w:rPr>
      <w:b/>
      <w:bCs/>
    </w:rPr>
  </w:style>
  <w:style w:type="character" w:styleId="FollowedHyperlink">
    <w:name w:val="FollowedHyperlink"/>
    <w:basedOn w:val="DefaultParagraphFont"/>
    <w:uiPriority w:val="99"/>
    <w:semiHidden/>
    <w:unhideWhenUsed/>
    <w:rsid w:val="004B6A85"/>
    <w:rPr>
      <w:color w:val="954F72" w:themeColor="followedHyperlink"/>
      <w:u w:val="single"/>
    </w:rPr>
  </w:style>
  <w:style w:type="paragraph" w:customStyle="1" w:styleId="Default">
    <w:name w:val="Default"/>
    <w:rsid w:val="008930C3"/>
    <w:pPr>
      <w:autoSpaceDE w:val="0"/>
      <w:autoSpaceDN w:val="0"/>
      <w:bidi/>
      <w:adjustRightInd w:val="0"/>
    </w:pPr>
    <w:rPr>
      <w:rFonts w:ascii="Calibri" w:hAnsi="Calibri" w:cs="Calibri"/>
      <w:color w:val="000000"/>
      <w:sz w:val="24"/>
      <w:szCs w:val="24"/>
      <w:rtl/>
      <w:lang w:eastAsia="en-US"/>
    </w:rPr>
  </w:style>
  <w:style w:type="character" w:customStyle="1" w:styleId="UnresolvedMention">
    <w:name w:val="Unresolved Mention"/>
    <w:basedOn w:val="DefaultParagraphFont"/>
    <w:uiPriority w:val="99"/>
    <w:rsid w:val="008724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14803">
      <w:bodyDiv w:val="1"/>
      <w:marLeft w:val="0"/>
      <w:marRight w:val="0"/>
      <w:marTop w:val="0"/>
      <w:marBottom w:val="0"/>
      <w:divBdr>
        <w:top w:val="none" w:sz="0" w:space="0" w:color="auto"/>
        <w:left w:val="none" w:sz="0" w:space="0" w:color="auto"/>
        <w:bottom w:val="none" w:sz="0" w:space="0" w:color="auto"/>
        <w:right w:val="none" w:sz="0" w:space="0" w:color="auto"/>
      </w:divBdr>
    </w:div>
    <w:div w:id="292446362">
      <w:bodyDiv w:val="1"/>
      <w:marLeft w:val="0"/>
      <w:marRight w:val="0"/>
      <w:marTop w:val="0"/>
      <w:marBottom w:val="0"/>
      <w:divBdr>
        <w:top w:val="none" w:sz="0" w:space="0" w:color="auto"/>
        <w:left w:val="none" w:sz="0" w:space="0" w:color="auto"/>
        <w:bottom w:val="none" w:sz="0" w:space="0" w:color="auto"/>
        <w:right w:val="none" w:sz="0" w:space="0" w:color="auto"/>
      </w:divBdr>
    </w:div>
    <w:div w:id="509107059">
      <w:bodyDiv w:val="1"/>
      <w:marLeft w:val="0"/>
      <w:marRight w:val="0"/>
      <w:marTop w:val="0"/>
      <w:marBottom w:val="0"/>
      <w:divBdr>
        <w:top w:val="none" w:sz="0" w:space="0" w:color="auto"/>
        <w:left w:val="none" w:sz="0" w:space="0" w:color="auto"/>
        <w:bottom w:val="none" w:sz="0" w:space="0" w:color="auto"/>
        <w:right w:val="none" w:sz="0" w:space="0" w:color="auto"/>
      </w:divBdr>
    </w:div>
    <w:div w:id="522980083">
      <w:bodyDiv w:val="1"/>
      <w:marLeft w:val="0"/>
      <w:marRight w:val="0"/>
      <w:marTop w:val="0"/>
      <w:marBottom w:val="0"/>
      <w:divBdr>
        <w:top w:val="none" w:sz="0" w:space="0" w:color="auto"/>
        <w:left w:val="none" w:sz="0" w:space="0" w:color="auto"/>
        <w:bottom w:val="none" w:sz="0" w:space="0" w:color="auto"/>
        <w:right w:val="none" w:sz="0" w:space="0" w:color="auto"/>
      </w:divBdr>
    </w:div>
    <w:div w:id="615214644">
      <w:bodyDiv w:val="1"/>
      <w:marLeft w:val="0"/>
      <w:marRight w:val="0"/>
      <w:marTop w:val="0"/>
      <w:marBottom w:val="0"/>
      <w:divBdr>
        <w:top w:val="none" w:sz="0" w:space="0" w:color="auto"/>
        <w:left w:val="none" w:sz="0" w:space="0" w:color="auto"/>
        <w:bottom w:val="none" w:sz="0" w:space="0" w:color="auto"/>
        <w:right w:val="none" w:sz="0" w:space="0" w:color="auto"/>
      </w:divBdr>
    </w:div>
    <w:div w:id="1329942037">
      <w:bodyDiv w:val="1"/>
      <w:marLeft w:val="0"/>
      <w:marRight w:val="0"/>
      <w:marTop w:val="0"/>
      <w:marBottom w:val="0"/>
      <w:divBdr>
        <w:top w:val="none" w:sz="0" w:space="0" w:color="auto"/>
        <w:left w:val="none" w:sz="0" w:space="0" w:color="auto"/>
        <w:bottom w:val="none" w:sz="0" w:space="0" w:color="auto"/>
        <w:right w:val="none" w:sz="0" w:space="0" w:color="auto"/>
      </w:divBdr>
    </w:div>
    <w:div w:id="1394043815">
      <w:bodyDiv w:val="1"/>
      <w:marLeft w:val="0"/>
      <w:marRight w:val="0"/>
      <w:marTop w:val="0"/>
      <w:marBottom w:val="0"/>
      <w:divBdr>
        <w:top w:val="none" w:sz="0" w:space="0" w:color="auto"/>
        <w:left w:val="none" w:sz="0" w:space="0" w:color="auto"/>
        <w:bottom w:val="none" w:sz="0" w:space="0" w:color="auto"/>
        <w:right w:val="none" w:sz="0" w:space="0" w:color="auto"/>
      </w:divBdr>
    </w:div>
    <w:div w:id="1498570855">
      <w:bodyDiv w:val="1"/>
      <w:marLeft w:val="0"/>
      <w:marRight w:val="0"/>
      <w:marTop w:val="0"/>
      <w:marBottom w:val="0"/>
      <w:divBdr>
        <w:top w:val="none" w:sz="0" w:space="0" w:color="auto"/>
        <w:left w:val="none" w:sz="0" w:space="0" w:color="auto"/>
        <w:bottom w:val="none" w:sz="0" w:space="0" w:color="auto"/>
        <w:right w:val="none" w:sz="0" w:space="0" w:color="auto"/>
      </w:divBdr>
    </w:div>
    <w:div w:id="1500658365">
      <w:bodyDiv w:val="1"/>
      <w:marLeft w:val="0"/>
      <w:marRight w:val="0"/>
      <w:marTop w:val="0"/>
      <w:marBottom w:val="0"/>
      <w:divBdr>
        <w:top w:val="none" w:sz="0" w:space="0" w:color="auto"/>
        <w:left w:val="none" w:sz="0" w:space="0" w:color="auto"/>
        <w:bottom w:val="none" w:sz="0" w:space="0" w:color="auto"/>
        <w:right w:val="none" w:sz="0" w:space="0" w:color="auto"/>
      </w:divBdr>
    </w:div>
    <w:div w:id="1501310596">
      <w:bodyDiv w:val="1"/>
      <w:marLeft w:val="0"/>
      <w:marRight w:val="0"/>
      <w:marTop w:val="0"/>
      <w:marBottom w:val="0"/>
      <w:divBdr>
        <w:top w:val="none" w:sz="0" w:space="0" w:color="auto"/>
        <w:left w:val="none" w:sz="0" w:space="0" w:color="auto"/>
        <w:bottom w:val="none" w:sz="0" w:space="0" w:color="auto"/>
        <w:right w:val="none" w:sz="0" w:space="0" w:color="auto"/>
      </w:divBdr>
    </w:div>
    <w:div w:id="1537159033">
      <w:bodyDiv w:val="1"/>
      <w:marLeft w:val="0"/>
      <w:marRight w:val="0"/>
      <w:marTop w:val="0"/>
      <w:marBottom w:val="0"/>
      <w:divBdr>
        <w:top w:val="none" w:sz="0" w:space="0" w:color="auto"/>
        <w:left w:val="none" w:sz="0" w:space="0" w:color="auto"/>
        <w:bottom w:val="none" w:sz="0" w:space="0" w:color="auto"/>
        <w:right w:val="none" w:sz="0" w:space="0" w:color="auto"/>
      </w:divBdr>
    </w:div>
    <w:div w:id="1670863130">
      <w:bodyDiv w:val="1"/>
      <w:marLeft w:val="0"/>
      <w:marRight w:val="0"/>
      <w:marTop w:val="0"/>
      <w:marBottom w:val="0"/>
      <w:divBdr>
        <w:top w:val="none" w:sz="0" w:space="0" w:color="auto"/>
        <w:left w:val="none" w:sz="0" w:space="0" w:color="auto"/>
        <w:bottom w:val="none" w:sz="0" w:space="0" w:color="auto"/>
        <w:right w:val="none" w:sz="0" w:space="0" w:color="auto"/>
      </w:divBdr>
    </w:div>
    <w:div w:id="1725372603">
      <w:bodyDiv w:val="1"/>
      <w:marLeft w:val="0"/>
      <w:marRight w:val="0"/>
      <w:marTop w:val="0"/>
      <w:marBottom w:val="0"/>
      <w:divBdr>
        <w:top w:val="none" w:sz="0" w:space="0" w:color="auto"/>
        <w:left w:val="none" w:sz="0" w:space="0" w:color="auto"/>
        <w:bottom w:val="none" w:sz="0" w:space="0" w:color="auto"/>
        <w:right w:val="none" w:sz="0" w:space="0" w:color="auto"/>
      </w:divBdr>
    </w:div>
    <w:div w:id="2034573625">
      <w:bodyDiv w:val="1"/>
      <w:marLeft w:val="0"/>
      <w:marRight w:val="0"/>
      <w:marTop w:val="0"/>
      <w:marBottom w:val="0"/>
      <w:divBdr>
        <w:top w:val="none" w:sz="0" w:space="0" w:color="auto"/>
        <w:left w:val="none" w:sz="0" w:space="0" w:color="auto"/>
        <w:bottom w:val="none" w:sz="0" w:space="0" w:color="auto"/>
        <w:right w:val="none" w:sz="0" w:space="0" w:color="auto"/>
      </w:divBdr>
    </w:div>
    <w:div w:id="204251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nn.org/en/system/files/files/ccwg-acct-ws2-final-27mar18-en.pdf" TargetMode="External"/><Relationship Id="rId13" Type="http://schemas.openxmlformats.org/officeDocument/2006/relationships/hyperlink" Target="https://community.icann.org/display/WEIA/Jurisdic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mmunity.icann.org/display/WEIA/Jurisdic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ommunity.icann.org/pages/viewpage.action?pageId=5964328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unity.icann.org/display/WEIA/WS2+-+Enhancing+ICANN+Accountability+Home" TargetMode="External"/><Relationship Id="rId5" Type="http://schemas.openxmlformats.org/officeDocument/2006/relationships/webSettings" Target="webSettings.xml"/><Relationship Id="rId15" Type="http://schemas.openxmlformats.org/officeDocument/2006/relationships/hyperlink" Target="https://community.icann.org/display/WEIA/Human+Rights" TargetMode="External"/><Relationship Id="rId10" Type="http://schemas.openxmlformats.org/officeDocument/2006/relationships/hyperlink" Target="https://community.icann.org/display/WEIA/WS2+-+Enhancing+ICANN+Accountability+Hom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Users\tomwdale\Downloads\Enhancing%20ICANN%20Accountability%20FINAL%20-%20Clean%20-%20Charter%20-%20updated%203%20November%202014%20(1).pdf" TargetMode="External"/><Relationship Id="rId14" Type="http://schemas.openxmlformats.org/officeDocument/2006/relationships/hyperlink" Target="https://community.icann.org/display/WEIA/Diversity"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cann.org/en/system/files/correspondence/gac-to-board-09mar16-en.pdf" TargetMode="External"/><Relationship Id="rId2" Type="http://schemas.openxmlformats.org/officeDocument/2006/relationships/hyperlink" Target="https://mm.icann.org/pipermail/comments-ccwg-acct-ws2-final-30mar18/attachments/20180511/7043bf04/ICANN-WS2-2emeconsultation-Juridiction-CommentairesduGouvernementfrancais-0001.pdf" TargetMode="External"/><Relationship Id="rId1" Type="http://schemas.openxmlformats.org/officeDocument/2006/relationships/hyperlink" Target="https://mm.icann.org/pipermail/comments-ccwg-acct-ws2-final-30mar18/attachments/20180511/7043bf04/ICANN-WS2-2emeconsultation-Diversite-CommentairesduGouvernementfrancais-00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20Lim\Dropbox%20(ACIG)\GAC%20Secretariat\Template%20-%20ACIG%20GAC%20Briefing.dotx"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abic Transparent"/>
        <a:ea typeface="Arabic Transparent"/>
        <a:cs typeface="Arabic Transparent"/>
      </a:majorFont>
      <a:minorFont>
        <a:latin typeface="Arabic Transparent"/>
        <a:ea typeface="Arabic Transparent"/>
        <a:cs typeface="Arabic Transparen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EA3AE-420F-42FF-8E02-08757B9B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ACIG GAC Briefing.dotx</Template>
  <TotalTime>1</TotalTime>
  <Pages>4</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عنوان الوثيقة</vt:lpstr>
    </vt:vector>
  </TitlesOfParts>
  <Company/>
  <LinksUpToDate>false</LinksUpToDate>
  <CharactersWithSpaces>7459</CharactersWithSpaces>
  <SharedDoc>false</SharedDoc>
  <HLinks>
    <vt:vector size="12" baseType="variant">
      <vt:variant>
        <vt:i4>1048631</vt:i4>
      </vt:variant>
      <vt:variant>
        <vt:i4>8</vt:i4>
      </vt:variant>
      <vt:variant>
        <vt:i4>0</vt:i4>
      </vt:variant>
      <vt:variant>
        <vt:i4>5</vt:i4>
      </vt:variant>
      <vt:variant>
        <vt:lpwstr/>
      </vt:variant>
      <vt:variant>
        <vt:lpwstr>_Toc231267216</vt:lpwstr>
      </vt:variant>
      <vt:variant>
        <vt:i4>1048631</vt:i4>
      </vt:variant>
      <vt:variant>
        <vt:i4>2</vt:i4>
      </vt:variant>
      <vt:variant>
        <vt:i4>0</vt:i4>
      </vt:variant>
      <vt:variant>
        <vt:i4>5</vt:i4>
      </vt:variant>
      <vt:variant>
        <vt:lpwstr/>
      </vt:variant>
      <vt:variant>
        <vt:lpwstr>_Toc231267215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الوثيقة</dc:title>
  <dc:subject>اسم و/أو شعار العميل</dc:subject>
  <dc:creator>Tracey</dc:creator>
  <cp:lastModifiedBy>Julian Dick</cp:lastModifiedBy>
  <cp:revision>3</cp:revision>
  <cp:lastPrinted>2017-02-17T01:54:00Z</cp:lastPrinted>
  <dcterms:created xsi:type="dcterms:W3CDTF">2018-07-04T07:51:00Z</dcterms:created>
  <dcterms:modified xsi:type="dcterms:W3CDTF">2018-07-04T07:52:00Z</dcterms:modified>
</cp:coreProperties>
</file>